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8"/>
        <w:gridCol w:w="3226"/>
        <w:gridCol w:w="60"/>
        <w:gridCol w:w="1817"/>
        <w:gridCol w:w="3101"/>
      </w:tblGrid>
      <w:tr w:rsidR="00BC0749" w14:paraId="3F19E83B" w14:textId="2DF18B3A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413F1B26" w:rsidR="0049798A" w:rsidRPr="00B642BF" w:rsidRDefault="008904B9" w:rsidP="00792FCD">
            <w:pPr>
              <w:rPr>
                <w:color w:val="425563" w:themeColor="text1"/>
              </w:rPr>
            </w:pPr>
            <w:r w:rsidRPr="00E0076D">
              <w:t xml:space="preserve">Decision Support Lead – </w:t>
            </w:r>
            <w:r w:rsidR="00F40F31" w:rsidRPr="00E0076D">
              <w:t>VAT</w:t>
            </w:r>
            <w:r w:rsidRPr="00E0076D">
              <w:t xml:space="preserve"> Advisory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1DC6D33D" w:rsidR="00BC0749" w:rsidRPr="00B642BF" w:rsidRDefault="00360957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3.2</w:t>
            </w:r>
          </w:p>
        </w:tc>
      </w:tr>
      <w:tr w:rsidR="00CA5E3C" w14:paraId="72D8F519" w14:textId="77777777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5F5AED58" w:rsidR="00CA5E3C" w:rsidRDefault="004559F4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Finance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39ECFF0D" w:rsidR="00CA5E3C" w:rsidRPr="00F509EF" w:rsidRDefault="6B590072" w:rsidP="007871EF">
            <w:pPr>
              <w:rPr>
                <w:b/>
                <w:bCs/>
                <w:color w:val="FFFFFF" w:themeColor="background1"/>
              </w:rPr>
            </w:pPr>
            <w:r w:rsidRPr="0BF23F05">
              <w:rPr>
                <w:b/>
                <w:bCs/>
                <w:color w:val="FFFFFF" w:themeColor="background2"/>
              </w:rPr>
              <w:t>Reporting to</w:t>
            </w:r>
            <w:r w:rsidR="00CA5E3C" w:rsidRPr="0BF23F05">
              <w:rPr>
                <w:b/>
                <w:bCs/>
                <w:color w:val="FFFFFF" w:themeColor="background2"/>
              </w:rPr>
              <w:t>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7A1F5197" w:rsidR="00CA5E3C" w:rsidRDefault="004F4AA5" w:rsidP="0BF23F05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Greg Carroll</w:t>
            </w:r>
          </w:p>
        </w:tc>
      </w:tr>
      <w:tr w:rsidR="005961C8" w:rsidRPr="005961C8" w14:paraId="2E843487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4FCF5826" w:rsidR="00BC0749" w:rsidRPr="005961C8" w:rsidRDefault="56F42880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 xml:space="preserve">About </w:t>
            </w:r>
            <w:r w:rsidR="3F8E5484" w:rsidRPr="7F52EAB1">
              <w:rPr>
                <w:b/>
                <w:bCs/>
                <w:color w:val="FFFFFF" w:themeColor="background2"/>
              </w:rPr>
              <w:t>T</w:t>
            </w:r>
            <w:r w:rsidRPr="7F52EAB1">
              <w:rPr>
                <w:b/>
                <w:bCs/>
                <w:color w:val="FFFFFF" w:themeColor="background2"/>
              </w:rPr>
              <w:t xml:space="preserve">he </w:t>
            </w:r>
            <w:r w:rsidR="7040972E" w:rsidRPr="7F52EAB1">
              <w:rPr>
                <w:b/>
                <w:bCs/>
                <w:color w:val="FFFFFF" w:themeColor="background2"/>
              </w:rPr>
              <w:t>R</w:t>
            </w:r>
            <w:r w:rsidRPr="7F52EAB1">
              <w:rPr>
                <w:b/>
                <w:bCs/>
                <w:color w:val="FFFFFF" w:themeColor="background2"/>
              </w:rPr>
              <w:t>ole</w:t>
            </w:r>
          </w:p>
        </w:tc>
      </w:tr>
      <w:tr w:rsidR="00BC0749" w14:paraId="2EC040B2" w14:textId="77777777" w:rsidTr="0E949831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DF06F5E" w14:textId="48A9BC40" w:rsidR="00C966EE" w:rsidRDefault="004A0E28" w:rsidP="00E36BD5">
            <w:r>
              <w:t>W</w:t>
            </w:r>
            <w:r w:rsidR="005647D9">
              <w:t xml:space="preserve">ithin the Financial Decision Support team, the </w:t>
            </w:r>
            <w:r w:rsidR="00F40F31">
              <w:t>VAT</w:t>
            </w:r>
            <w:r w:rsidR="005647D9">
              <w:t xml:space="preserve"> advisory lead </w:t>
            </w:r>
            <w:r w:rsidR="00C966EE">
              <w:t xml:space="preserve">provides </w:t>
            </w:r>
            <w:r>
              <w:t xml:space="preserve">in house </w:t>
            </w:r>
            <w:r w:rsidR="00C966EE" w:rsidRPr="00C966EE">
              <w:t>guidance and expertise to optimise VAT related opportunities and decision making</w:t>
            </w:r>
            <w:r w:rsidR="00F27C14">
              <w:t>.</w:t>
            </w:r>
          </w:p>
          <w:p w14:paraId="28C11E35" w14:textId="7B82A028" w:rsidR="00871C3F" w:rsidRDefault="00890E4A" w:rsidP="00E36BD5">
            <w:r>
              <w:t>Th</w:t>
            </w:r>
            <w:r w:rsidR="0031673A">
              <w:t xml:space="preserve">e role </w:t>
            </w:r>
            <w:r w:rsidR="00D2614C">
              <w:t>provide</w:t>
            </w:r>
            <w:r w:rsidR="004A0E28">
              <w:t>s</w:t>
            </w:r>
            <w:r w:rsidR="00D2614C">
              <w:t xml:space="preserve"> </w:t>
            </w:r>
            <w:r w:rsidR="004318AC">
              <w:t xml:space="preserve">VAT </w:t>
            </w:r>
            <w:r w:rsidR="00FB1AC2">
              <w:t>a</w:t>
            </w:r>
            <w:r w:rsidR="004D73C4">
              <w:t xml:space="preserve">dvice to </w:t>
            </w:r>
            <w:r w:rsidR="003E6476">
              <w:t>internal colleagues</w:t>
            </w:r>
            <w:r w:rsidR="007C64D1">
              <w:t xml:space="preserve"> </w:t>
            </w:r>
            <w:r w:rsidR="00D520A4">
              <w:t xml:space="preserve">relating to </w:t>
            </w:r>
            <w:r w:rsidR="00FB3AB0">
              <w:t xml:space="preserve">company-wide </w:t>
            </w:r>
            <w:r w:rsidR="0089715F">
              <w:t>strategic</w:t>
            </w:r>
            <w:r w:rsidR="00FB3AB0">
              <w:t xml:space="preserve"> operations,</w:t>
            </w:r>
            <w:r w:rsidR="0089715F">
              <w:t xml:space="preserve"> as well as </w:t>
            </w:r>
            <w:r w:rsidR="00C049D5">
              <w:t xml:space="preserve">site specific </w:t>
            </w:r>
            <w:r w:rsidR="00B97301">
              <w:t xml:space="preserve">real estate relate and other </w:t>
            </w:r>
            <w:r w:rsidR="0089715F">
              <w:t>queries</w:t>
            </w:r>
            <w:r w:rsidR="00E745C9">
              <w:t>.</w:t>
            </w:r>
          </w:p>
          <w:p w14:paraId="7225C9EB" w14:textId="0C01B6ED" w:rsidR="00FB1AC2" w:rsidRPr="000E68B3" w:rsidRDefault="00B10C37" w:rsidP="004E2631">
            <w:r>
              <w:t xml:space="preserve">Working within a large </w:t>
            </w:r>
            <w:r w:rsidR="009D07CE">
              <w:t>portfolio and</w:t>
            </w:r>
            <w:r>
              <w:t xml:space="preserve"> with varied service streams, this </w:t>
            </w:r>
            <w:r w:rsidR="003246B6">
              <w:t xml:space="preserve">role provides an exciting opportunity to </w:t>
            </w:r>
            <w:r w:rsidR="006D306F">
              <w:t xml:space="preserve">make </w:t>
            </w:r>
            <w:r w:rsidR="004E2631">
              <w:t>notable positive impact</w:t>
            </w:r>
            <w:r w:rsidR="009D07CE">
              <w:t xml:space="preserve"> with high visibility </w:t>
            </w:r>
            <w:r w:rsidR="00CC574D">
              <w:t>from executives.</w:t>
            </w:r>
          </w:p>
        </w:tc>
      </w:tr>
      <w:tr w:rsidR="002D3AF6" w:rsidRPr="002D3AF6" w14:paraId="79A34FCC" w14:textId="77777777" w:rsidTr="0E949831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259B9DAE" w:rsidR="00BC0749" w:rsidRPr="002D3AF6" w:rsidRDefault="145667F7" w:rsidP="007871EF">
            <w:pPr>
              <w:rPr>
                <w:b/>
                <w:bCs/>
                <w:color w:val="FFFFFF" w:themeColor="background1"/>
              </w:rPr>
            </w:pPr>
            <w:r w:rsidRPr="7F52EAB1">
              <w:rPr>
                <w:b/>
                <w:bCs/>
                <w:color w:val="FFFFFF" w:themeColor="background2"/>
              </w:rPr>
              <w:t>Key Responsibilities</w:t>
            </w:r>
          </w:p>
        </w:tc>
      </w:tr>
      <w:tr w:rsidR="00B2048A" w:rsidRPr="00B2048A" w14:paraId="1668AAD5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44DE902" w14:textId="31EFBCC3" w:rsidR="00F32C32" w:rsidRDefault="00F32C32" w:rsidP="005B516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 xml:space="preserve">Act as in house </w:t>
            </w:r>
            <w:r w:rsidR="005F23C2">
              <w:t xml:space="preserve">VAT </w:t>
            </w:r>
            <w:r>
              <w:t>subject matter expert</w:t>
            </w:r>
            <w:r w:rsidR="005F23C2">
              <w:t>.</w:t>
            </w:r>
          </w:p>
          <w:p w14:paraId="3FCDDA21" w14:textId="3AB71024" w:rsidR="00024BEB" w:rsidRDefault="00024BEB" w:rsidP="005B516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Build network</w:t>
            </w:r>
            <w:r w:rsidR="00077EF7">
              <w:t xml:space="preserve"> and relationships with</w:t>
            </w:r>
            <w:r>
              <w:t xml:space="preserve"> </w:t>
            </w:r>
            <w:r w:rsidR="001F7D90">
              <w:t xml:space="preserve">key </w:t>
            </w:r>
            <w:r w:rsidR="00077EF7">
              <w:t xml:space="preserve">relevant </w:t>
            </w:r>
            <w:r>
              <w:t>contacts across the business</w:t>
            </w:r>
            <w:r w:rsidR="003D3C97">
              <w:t xml:space="preserve"> and externally.</w:t>
            </w:r>
          </w:p>
          <w:p w14:paraId="0B428279" w14:textId="2DAB1F90" w:rsidR="008F431D" w:rsidRDefault="008F431D" w:rsidP="008F431D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Provide technically sound, timely, proactive advice and resolution of queries.</w:t>
            </w:r>
          </w:p>
          <w:p w14:paraId="12388635" w14:textId="0ED19A9C" w:rsidR="00DE7C4C" w:rsidRDefault="00DE7C4C" w:rsidP="008F431D">
            <w:pPr>
              <w:pStyle w:val="ListParagraph"/>
              <w:numPr>
                <w:ilvl w:val="0"/>
                <w:numId w:val="21"/>
              </w:numPr>
            </w:pPr>
            <w:r>
              <w:t xml:space="preserve">Review, understand and </w:t>
            </w:r>
            <w:r w:rsidR="005B14E5">
              <w:t xml:space="preserve">enhance </w:t>
            </w:r>
            <w:r>
              <w:t>document</w:t>
            </w:r>
            <w:r w:rsidR="005B14E5">
              <w:t>ation</w:t>
            </w:r>
            <w:r>
              <w:t xml:space="preserve"> </w:t>
            </w:r>
            <w:r w:rsidR="005B14E5">
              <w:t xml:space="preserve">of </w:t>
            </w:r>
            <w:r>
              <w:t>the operation of VAT across the</w:t>
            </w:r>
            <w:r w:rsidR="00D72CF5">
              <w:t xml:space="preserve"> different service streams, </w:t>
            </w:r>
            <w:r w:rsidR="005B14E5">
              <w:t>identifying</w:t>
            </w:r>
            <w:r w:rsidR="00D72CF5">
              <w:t xml:space="preserve"> risks</w:t>
            </w:r>
            <w:r w:rsidR="003044C6">
              <w:t xml:space="preserve">, mitigations, </w:t>
            </w:r>
            <w:r w:rsidR="00D72CF5">
              <w:t>opportunities and act</w:t>
            </w:r>
            <w:r w:rsidR="003044C6">
              <w:t>ion planning as needed</w:t>
            </w:r>
            <w:r w:rsidR="00D72CF5">
              <w:t>.</w:t>
            </w:r>
          </w:p>
          <w:p w14:paraId="11940625" w14:textId="7CBCAA09" w:rsidR="008F431D" w:rsidRDefault="002A635B" w:rsidP="008F431D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Advise on</w:t>
            </w:r>
            <w:r w:rsidR="008F431D">
              <w:t xml:space="preserve"> </w:t>
            </w:r>
            <w:r w:rsidR="00CB5160">
              <w:t xml:space="preserve">real estate activity: </w:t>
            </w:r>
            <w:r w:rsidR="008F431D">
              <w:t>capital projects (heath and office facilities – new build and refurb – freehold and leasehold)</w:t>
            </w:r>
            <w:r w:rsidR="008F431D" w:rsidRPr="005B5166">
              <w:t>,</w:t>
            </w:r>
            <w:r w:rsidR="008F431D">
              <w:t xml:space="preserve"> </w:t>
            </w:r>
            <w:r w:rsidR="008F431D" w:rsidRPr="005B5166">
              <w:t>property sales</w:t>
            </w:r>
            <w:r w:rsidR="008F431D">
              <w:t>,</w:t>
            </w:r>
            <w:r w:rsidR="008F431D" w:rsidRPr="005B5166">
              <w:t xml:space="preserve"> </w:t>
            </w:r>
            <w:r w:rsidR="008F431D">
              <w:t>freehold acquisitions and leasing activity.</w:t>
            </w:r>
          </w:p>
          <w:p w14:paraId="39298CE6" w14:textId="1C13B603" w:rsidR="00110AF0" w:rsidRPr="00556522" w:rsidRDefault="0006302C" w:rsidP="00517DE4">
            <w:pPr>
              <w:pStyle w:val="ListParagraph"/>
              <w:numPr>
                <w:ilvl w:val="0"/>
                <w:numId w:val="21"/>
              </w:numPr>
            </w:pPr>
            <w:r w:rsidRPr="00556522">
              <w:t xml:space="preserve">Advise </w:t>
            </w:r>
            <w:r w:rsidR="00854AB1" w:rsidRPr="00556522">
              <w:t xml:space="preserve">on </w:t>
            </w:r>
            <w:r w:rsidR="00035FCD" w:rsidRPr="00556522">
              <w:t>non-</w:t>
            </w:r>
            <w:proofErr w:type="gramStart"/>
            <w:r w:rsidR="00035FCD" w:rsidRPr="00556522">
              <w:t>site specific</w:t>
            </w:r>
            <w:proofErr w:type="gramEnd"/>
            <w:r w:rsidR="00035FCD" w:rsidRPr="00556522">
              <w:t xml:space="preserve"> VAT issues: r</w:t>
            </w:r>
            <w:r w:rsidR="00110AF0" w:rsidRPr="00556522">
              <w:t>eview</w:t>
            </w:r>
            <w:r w:rsidR="00035FCD" w:rsidRPr="00556522">
              <w:t>ing</w:t>
            </w:r>
            <w:r w:rsidR="00110AF0" w:rsidRPr="00556522">
              <w:t xml:space="preserve"> contracts for VAT purposes </w:t>
            </w:r>
            <w:r w:rsidR="00AA7444" w:rsidRPr="00556522">
              <w:t>to ensure correct VAT treatment is applied</w:t>
            </w:r>
            <w:r w:rsidR="000B47CB" w:rsidRPr="00556522">
              <w:t xml:space="preserve">, reviewing VAT operation for </w:t>
            </w:r>
            <w:r w:rsidR="00110AF0" w:rsidRPr="00556522">
              <w:t>new structures or operational arrangements</w:t>
            </w:r>
            <w:r w:rsidR="009A1EA9" w:rsidRPr="00556522">
              <w:t xml:space="preserve">, operation of partial </w:t>
            </w:r>
            <w:r w:rsidR="00556522" w:rsidRPr="00556522">
              <w:t>exemption calculation.</w:t>
            </w:r>
          </w:p>
          <w:p w14:paraId="372F5396" w14:textId="0A5103B1" w:rsidR="008F431D" w:rsidRDefault="008F431D" w:rsidP="0087796D">
            <w:pPr>
              <w:pStyle w:val="ListParagraph"/>
              <w:numPr>
                <w:ilvl w:val="0"/>
                <w:numId w:val="21"/>
              </w:numPr>
            </w:pPr>
            <w:r>
              <w:t>Opting to Tax – identifying opportunities to opt, evaluating impact on stakeholders</w:t>
            </w:r>
            <w:r w:rsidR="00556522">
              <w:t xml:space="preserve"> (with FDS colleagues)</w:t>
            </w:r>
            <w:r>
              <w:t>, comms with customer facing teams and providers</w:t>
            </w:r>
            <w:r w:rsidR="00001A32">
              <w:t>, n</w:t>
            </w:r>
            <w:r w:rsidRPr="005B5166">
              <w:t>otif</w:t>
            </w:r>
            <w:r w:rsidR="00001A32">
              <w:t xml:space="preserve">ications </w:t>
            </w:r>
            <w:r w:rsidRPr="005B5166">
              <w:t>to HMRC</w:t>
            </w:r>
            <w:r w:rsidR="00001A32">
              <w:t>.</w:t>
            </w:r>
          </w:p>
          <w:p w14:paraId="3454380E" w14:textId="7327FD5B" w:rsidR="004F30CD" w:rsidRDefault="004F30CD" w:rsidP="00916D24">
            <w:pPr>
              <w:pStyle w:val="ListParagraph"/>
              <w:numPr>
                <w:ilvl w:val="0"/>
                <w:numId w:val="21"/>
              </w:numPr>
            </w:pPr>
            <w:r>
              <w:t xml:space="preserve">Own </w:t>
            </w:r>
            <w:r w:rsidR="009A4871">
              <w:t xml:space="preserve">the </w:t>
            </w:r>
            <w:r>
              <w:t xml:space="preserve">relationship with external </w:t>
            </w:r>
            <w:r w:rsidR="001E1F95">
              <w:t xml:space="preserve">tax </w:t>
            </w:r>
            <w:r>
              <w:t>advisors</w:t>
            </w:r>
            <w:r w:rsidR="00AE1E16">
              <w:t>.</w:t>
            </w:r>
          </w:p>
          <w:p w14:paraId="5600AE6B" w14:textId="00F2FBC1" w:rsidR="00621770" w:rsidRDefault="00621770" w:rsidP="00621770">
            <w:pPr>
              <w:pStyle w:val="ListParagraph"/>
              <w:numPr>
                <w:ilvl w:val="0"/>
                <w:numId w:val="21"/>
              </w:numPr>
            </w:pPr>
            <w:r>
              <w:t>Monitor legislation and assess impact of any potential changes and ensuring early/appropriate communication within the business.</w:t>
            </w:r>
          </w:p>
          <w:p w14:paraId="50403BF2" w14:textId="0D425136" w:rsidR="00700E22" w:rsidRDefault="00B3483D" w:rsidP="005B516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 xml:space="preserve">Ensuring relevant internal teams are sufficiently </w:t>
            </w:r>
            <w:r w:rsidR="00700E22">
              <w:t xml:space="preserve">informed on </w:t>
            </w:r>
            <w:r w:rsidR="00AB172A">
              <w:t xml:space="preserve">key </w:t>
            </w:r>
            <w:r w:rsidR="00700E22">
              <w:t>aspects through comms and periodic training</w:t>
            </w:r>
            <w:r w:rsidR="00AE1E16">
              <w:t>.</w:t>
            </w:r>
          </w:p>
          <w:p w14:paraId="6910E043" w14:textId="6A5B956F" w:rsidR="005B5166" w:rsidRPr="005B5166" w:rsidRDefault="005B5166" w:rsidP="005B5166">
            <w:pPr>
              <w:pStyle w:val="ListParagraph"/>
              <w:numPr>
                <w:ilvl w:val="0"/>
                <w:numId w:val="21"/>
              </w:numPr>
            </w:pPr>
            <w:r w:rsidRPr="005B5166">
              <w:t>Manage the ongoing relationship between HMRC and NHS PS in respect of VAT issues, so that the desired risk status is achieved.</w:t>
            </w:r>
          </w:p>
          <w:p w14:paraId="6CC81FC7" w14:textId="162FD577" w:rsidR="005B5166" w:rsidRDefault="00CB7745" w:rsidP="005B5166">
            <w:pPr>
              <w:pStyle w:val="ListParagraph"/>
              <w:numPr>
                <w:ilvl w:val="0"/>
                <w:numId w:val="21"/>
              </w:numPr>
            </w:pPr>
            <w:r>
              <w:t>Collaborate with tax compliance team to p</w:t>
            </w:r>
            <w:r w:rsidR="005B5166">
              <w:t>repare for VAT visits from HMRC</w:t>
            </w:r>
            <w:r>
              <w:t>.</w:t>
            </w:r>
          </w:p>
          <w:p w14:paraId="16D577FC" w14:textId="1FC396FD" w:rsidR="00984FA7" w:rsidRPr="000E68B3" w:rsidRDefault="00984FA7" w:rsidP="00621770">
            <w:pPr>
              <w:pStyle w:val="ListParagraph"/>
              <w:spacing w:after="160" w:line="259" w:lineRule="auto"/>
            </w:pPr>
          </w:p>
        </w:tc>
      </w:tr>
      <w:tr w:rsidR="00BC0749" w14:paraId="5EC0158A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046099BF" w:rsidR="00BC0749" w:rsidRPr="00AA5F10" w:rsidRDefault="145667F7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>Knowledge, Skills and Experience</w:t>
            </w:r>
          </w:p>
        </w:tc>
      </w:tr>
      <w:tr w:rsidR="004C3B75" w:rsidRPr="004C3B75" w14:paraId="38DEA0B5" w14:textId="77777777" w:rsidTr="0E949831">
        <w:trPr>
          <w:trHeight w:val="20"/>
        </w:trPr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0E949831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8F83BA6" w14:textId="266B748C" w:rsidR="00A8774D" w:rsidRDefault="00A8774D" w:rsidP="00A8774D">
            <w:pPr>
              <w:pStyle w:val="ListParagraph"/>
              <w:numPr>
                <w:ilvl w:val="0"/>
                <w:numId w:val="22"/>
              </w:numPr>
            </w:pPr>
            <w:r>
              <w:t xml:space="preserve">At least 3 years </w:t>
            </w:r>
            <w:r w:rsidR="0017203A">
              <w:t>post qualification</w:t>
            </w:r>
            <w:r w:rsidR="00150A47">
              <w:t xml:space="preserve"> </w:t>
            </w:r>
            <w:r w:rsidR="002C5776">
              <w:t xml:space="preserve"> in </w:t>
            </w:r>
            <w:r w:rsidR="00150A47">
              <w:t xml:space="preserve">accountancy </w:t>
            </w:r>
            <w:r w:rsidR="002C5776">
              <w:t xml:space="preserve">(ACA/ACCA) </w:t>
            </w:r>
            <w:r w:rsidR="00150A47">
              <w:t>and/or tax</w:t>
            </w:r>
            <w:r w:rsidR="002C5776">
              <w:t xml:space="preserve"> </w:t>
            </w:r>
            <w:r w:rsidR="00C10DDA">
              <w:t>(</w:t>
            </w:r>
            <w:r w:rsidR="002C5776">
              <w:t>CTA</w:t>
            </w:r>
            <w:r w:rsidR="00150A47">
              <w:t>)</w:t>
            </w:r>
            <w:r>
              <w:t xml:space="preserve"> working in a VAT advisory role.</w:t>
            </w:r>
          </w:p>
          <w:p w14:paraId="76153D96" w14:textId="77777777" w:rsidR="00A8774D" w:rsidRDefault="00A8774D" w:rsidP="00A8774D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Significant VAT experience advising on property transactions and partially exempt businesses would be useful.</w:t>
            </w:r>
          </w:p>
          <w:p w14:paraId="27E8A2CC" w14:textId="3834B309" w:rsidR="00A8774D" w:rsidRPr="005F23C2" w:rsidRDefault="00F11C98" w:rsidP="00A8774D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 xml:space="preserve">Experience in practice and industry </w:t>
            </w:r>
            <w:r w:rsidRPr="005F23C2">
              <w:t>ideally.</w:t>
            </w:r>
          </w:p>
          <w:p w14:paraId="501BF385" w14:textId="6768052F" w:rsidR="004960A0" w:rsidRPr="005F23C2" w:rsidRDefault="003B58EE" w:rsidP="00A8774D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 w:rsidRPr="005F23C2">
              <w:t xml:space="preserve">Experience in </w:t>
            </w:r>
            <w:r w:rsidR="00083ADE" w:rsidRPr="005F23C2">
              <w:t>NHS specific or p</w:t>
            </w:r>
            <w:r w:rsidR="004960A0" w:rsidRPr="005F23C2">
              <w:t>ublic sector</w:t>
            </w:r>
            <w:r w:rsidR="00083ADE" w:rsidRPr="005F23C2">
              <w:t xml:space="preserve"> </w:t>
            </w:r>
            <w:r w:rsidR="003930F3" w:rsidRPr="005F23C2">
              <w:t>ideal</w:t>
            </w:r>
            <w:r w:rsidR="00057E78" w:rsidRPr="005F23C2">
              <w:t>ly.</w:t>
            </w:r>
            <w:r w:rsidR="003930F3" w:rsidRPr="005F23C2">
              <w:t xml:space="preserve"> </w:t>
            </w:r>
          </w:p>
          <w:p w14:paraId="1D6A61F1" w14:textId="535A70B0" w:rsidR="00A40B60" w:rsidRPr="005F23C2" w:rsidRDefault="005F23C2" w:rsidP="00A8774D">
            <w:pPr>
              <w:pStyle w:val="ListParagraph"/>
              <w:numPr>
                <w:ilvl w:val="0"/>
                <w:numId w:val="22"/>
              </w:numPr>
            </w:pPr>
            <w:r w:rsidRPr="005F23C2">
              <w:t xml:space="preserve">Some experience of </w:t>
            </w:r>
            <w:r w:rsidR="00A40B60" w:rsidRPr="005F23C2">
              <w:t>SDLT</w:t>
            </w:r>
            <w:r w:rsidRPr="005F23C2">
              <w:t xml:space="preserve"> useful</w:t>
            </w:r>
          </w:p>
          <w:p w14:paraId="0B0A062A" w14:textId="1EE10F18" w:rsidR="00765C7C" w:rsidRPr="00D524B9" w:rsidRDefault="00765C7C" w:rsidP="00765C7C">
            <w:pPr>
              <w:pStyle w:val="ListParagraph"/>
              <w:ind w:left="360"/>
              <w:rPr>
                <w:color w:val="425563" w:themeColor="text1"/>
              </w:rPr>
            </w:pPr>
          </w:p>
          <w:p w14:paraId="3A656D1F" w14:textId="564902BF" w:rsidR="00984FA7" w:rsidRDefault="00984FA7" w:rsidP="00765C7C">
            <w:pPr>
              <w:pStyle w:val="ListParagraph"/>
              <w:ind w:left="360"/>
              <w:rPr>
                <w:color w:val="425563" w:themeColor="text1"/>
              </w:rPr>
            </w:pPr>
          </w:p>
          <w:p w14:paraId="3938F34D" w14:textId="69E53CA7" w:rsidR="00984FA7" w:rsidRPr="000E68B3" w:rsidRDefault="00984FA7" w:rsidP="000E68B3">
            <w:pPr>
              <w:pStyle w:val="ListParagraph"/>
              <w:ind w:left="360"/>
              <w:rPr>
                <w:color w:val="425563" w:themeColor="text1"/>
              </w:rPr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5AC27BF" w14:textId="3898F3E6" w:rsidR="004960A0" w:rsidRDefault="0027669E" w:rsidP="00935724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D</w:t>
            </w:r>
            <w:r w:rsidR="005A20DC">
              <w:t xml:space="preserve">eliver messages </w:t>
            </w:r>
            <w:r w:rsidR="002D60C4">
              <w:t xml:space="preserve">confidently and </w:t>
            </w:r>
            <w:r w:rsidR="005A20DC">
              <w:t>with authority.</w:t>
            </w:r>
          </w:p>
          <w:p w14:paraId="387D6B22" w14:textId="78822B75" w:rsidR="004960A0" w:rsidRDefault="0027669E" w:rsidP="00935724">
            <w:pPr>
              <w:pStyle w:val="ListParagraph"/>
              <w:numPr>
                <w:ilvl w:val="0"/>
                <w:numId w:val="23"/>
              </w:numPr>
            </w:pPr>
            <w:r>
              <w:t>W</w:t>
            </w:r>
            <w:r w:rsidR="004960A0">
              <w:t>ork</w:t>
            </w:r>
            <w:r>
              <w:t xml:space="preserve"> proactively and </w:t>
            </w:r>
            <w:r w:rsidR="004960A0">
              <w:t>on own initiative.</w:t>
            </w:r>
          </w:p>
          <w:p w14:paraId="1CC2D073" w14:textId="740FE4EA" w:rsidR="00BD51BB" w:rsidRDefault="00BD51BB" w:rsidP="00935724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lastRenderedPageBreak/>
              <w:t>Organised and structured approach</w:t>
            </w:r>
            <w:r w:rsidR="009B3344">
              <w:t>.</w:t>
            </w:r>
            <w:r>
              <w:t xml:space="preserve"> </w:t>
            </w:r>
          </w:p>
          <w:p w14:paraId="106A15F3" w14:textId="3230898F" w:rsidR="00D720E8" w:rsidRDefault="004960A0" w:rsidP="00935724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Clear communicator</w:t>
            </w:r>
            <w:r w:rsidR="00E738F5">
              <w:t xml:space="preserve">. Able to convey </w:t>
            </w:r>
            <w:r w:rsidR="00152F3C">
              <w:t>complex concepts clearly</w:t>
            </w:r>
            <w:r w:rsidR="000E44BB">
              <w:t>, taking into account</w:t>
            </w:r>
            <w:r w:rsidR="00D720E8">
              <w:t xml:space="preserve"> the audience.</w:t>
            </w:r>
          </w:p>
          <w:p w14:paraId="6C03DF8B" w14:textId="20CDDBC5" w:rsidR="00E260C4" w:rsidRDefault="00E260C4" w:rsidP="00935724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Strategic mindset</w:t>
            </w:r>
            <w:r w:rsidR="009B3344">
              <w:t>.</w:t>
            </w:r>
          </w:p>
          <w:p w14:paraId="05547DC4" w14:textId="62471DD9" w:rsidR="000958B1" w:rsidRPr="00935724" w:rsidRDefault="008125E2" w:rsidP="00935724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Comfortable with numbers</w:t>
            </w:r>
            <w:r w:rsidR="0091292A">
              <w:t>/analysis.</w:t>
            </w:r>
          </w:p>
          <w:p w14:paraId="44F07F04" w14:textId="7E087F39" w:rsidR="00935724" w:rsidRDefault="006E5ACC" w:rsidP="00935724">
            <w:pPr>
              <w:pStyle w:val="ListParagraph"/>
              <w:numPr>
                <w:ilvl w:val="0"/>
                <w:numId w:val="23"/>
              </w:numPr>
            </w:pPr>
            <w:r>
              <w:t xml:space="preserve">Key </w:t>
            </w:r>
            <w:r w:rsidR="00935724">
              <w:t>M</w:t>
            </w:r>
            <w:r>
              <w:t xml:space="preserve">icrosoft </w:t>
            </w:r>
            <w:r w:rsidR="00935724">
              <w:t>Office applications</w:t>
            </w:r>
          </w:p>
          <w:p w14:paraId="58DAA1AB" w14:textId="1FA94449" w:rsidR="00E40FD6" w:rsidRPr="00CA5E3C" w:rsidRDefault="00E40FD6" w:rsidP="004461B1">
            <w:pPr>
              <w:pStyle w:val="ListParagraph"/>
            </w:pPr>
          </w:p>
        </w:tc>
      </w:tr>
      <w:tr w:rsidR="004F219A" w:rsidRPr="004F219A" w14:paraId="36AFF77F" w14:textId="77777777" w:rsidTr="0E949831">
        <w:trPr>
          <w:trHeight w:val="57"/>
        </w:trPr>
        <w:tc>
          <w:tcPr>
            <w:tcW w:w="5084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lastRenderedPageBreak/>
              <w:t>Knowledge</w:t>
            </w:r>
          </w:p>
        </w:tc>
        <w:tc>
          <w:tcPr>
            <w:tcW w:w="491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4461B1" w:rsidRPr="004461B1" w14:paraId="070B5381" w14:textId="77777777" w:rsidTr="0E949831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181E75A8" w14:textId="5CE92507" w:rsidR="002462B8" w:rsidRPr="004461B1" w:rsidRDefault="000828EA" w:rsidP="002462B8">
            <w:pPr>
              <w:pStyle w:val="ListParagraph"/>
              <w:numPr>
                <w:ilvl w:val="0"/>
                <w:numId w:val="24"/>
              </w:numPr>
            </w:pPr>
            <w:r>
              <w:t>T</w:t>
            </w:r>
            <w:r w:rsidR="002462B8" w:rsidRPr="004461B1">
              <w:t>o maintain up to date knowledge of VAT technical developments</w:t>
            </w:r>
            <w:r>
              <w:t xml:space="preserve"> through relevant forums.</w:t>
            </w:r>
          </w:p>
          <w:p w14:paraId="5195458F" w14:textId="130F5F56" w:rsidR="002462B8" w:rsidRPr="004461B1" w:rsidRDefault="002462B8" w:rsidP="002462B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4461B1">
              <w:t>Knowledge of NHS real estate background (desirable)</w:t>
            </w:r>
            <w:r w:rsidR="00935724" w:rsidRPr="004461B1">
              <w:t xml:space="preserve"> (COS 45 </w:t>
            </w:r>
            <w:r w:rsidR="00467BBE" w:rsidRPr="004461B1">
              <w:t>desirable)</w:t>
            </w:r>
          </w:p>
          <w:p w14:paraId="504F83E0" w14:textId="55A7C53A" w:rsidR="00A40B60" w:rsidRPr="004461B1" w:rsidRDefault="00A40B60" w:rsidP="002462B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4461B1">
              <w:t>SDLT</w:t>
            </w:r>
            <w:r w:rsidR="0022728C" w:rsidRPr="004461B1">
              <w:t xml:space="preserve"> </w:t>
            </w:r>
            <w:r w:rsidR="006F10E9">
              <w:t xml:space="preserve">knowledge </w:t>
            </w:r>
            <w:r w:rsidR="0022728C" w:rsidRPr="004461B1">
              <w:t>desirable</w:t>
            </w:r>
          </w:p>
          <w:p w14:paraId="4DC326A6" w14:textId="77777777" w:rsidR="00AD7B02" w:rsidRPr="004461B1" w:rsidRDefault="00AD7B02" w:rsidP="00AD7B02">
            <w:pPr>
              <w:pStyle w:val="ListParagraph"/>
              <w:ind w:left="360"/>
            </w:pPr>
          </w:p>
          <w:p w14:paraId="5C61EA91" w14:textId="1EE83C57" w:rsidR="008A1E59" w:rsidRPr="004461B1" w:rsidRDefault="008A1E59" w:rsidP="00FF15E8">
            <w:pPr>
              <w:pStyle w:val="ListParagraph"/>
              <w:ind w:left="360"/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7DA5333" w14:textId="77777777" w:rsidR="002462B8" w:rsidRPr="004461B1" w:rsidRDefault="002462B8" w:rsidP="002462B8">
            <w:pPr>
              <w:pStyle w:val="ListParagraph"/>
              <w:numPr>
                <w:ilvl w:val="0"/>
                <w:numId w:val="24"/>
              </w:numPr>
            </w:pPr>
            <w:r w:rsidRPr="004461B1">
              <w:t>Ideally a Chartered Tax Adviser, though significant experience advising on VAT and property transactions is equally important.</w:t>
            </w:r>
          </w:p>
          <w:p w14:paraId="5DB675B6" w14:textId="77777777" w:rsidR="002462B8" w:rsidRPr="004461B1" w:rsidRDefault="002462B8" w:rsidP="002462B8">
            <w:pPr>
              <w:pStyle w:val="ListParagraph"/>
              <w:numPr>
                <w:ilvl w:val="0"/>
                <w:numId w:val="24"/>
              </w:numPr>
            </w:pPr>
            <w:r w:rsidRPr="004461B1">
              <w:t>Background is likely to be from the VAT consultancy team of a professional services firm or in-house VAT advisory.</w:t>
            </w:r>
          </w:p>
          <w:p w14:paraId="4277BFF1" w14:textId="09165786" w:rsidR="00984FA7" w:rsidRPr="004461B1" w:rsidRDefault="00984FA7" w:rsidP="009B0635">
            <w:pPr>
              <w:pStyle w:val="ListParagraph"/>
              <w:ind w:left="360"/>
            </w:pPr>
          </w:p>
        </w:tc>
      </w:tr>
      <w:tr w:rsidR="001800D0" w:rsidRPr="001800D0" w14:paraId="460DA05E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B642BF" w:rsidRPr="00B642BF" w14:paraId="399EC2A9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F489705" w14:textId="3BC1D584" w:rsidR="00C01790" w:rsidRPr="00822A35" w:rsidRDefault="000D649B" w:rsidP="0024477F">
            <w:pPr>
              <w:spacing w:after="160" w:line="259" w:lineRule="auto"/>
            </w:pPr>
            <w:r w:rsidRPr="00822A35">
              <w:t>Head office is available for use as desired</w:t>
            </w:r>
            <w:r w:rsidR="006374F9">
              <w:t>,</w:t>
            </w:r>
            <w:r w:rsidR="00D549D5" w:rsidRPr="00822A35">
              <w:t xml:space="preserve"> but c</w:t>
            </w:r>
            <w:r w:rsidR="006E5ACC" w:rsidRPr="00822A35">
              <w:t>olleagues make u</w:t>
            </w:r>
            <w:r w:rsidR="00553AA8" w:rsidRPr="00822A35">
              <w:t>s</w:t>
            </w:r>
            <w:r w:rsidR="006E5ACC" w:rsidRPr="00822A35">
              <w:t xml:space="preserve">e of the </w:t>
            </w:r>
            <w:r w:rsidR="00997699" w:rsidRPr="00822A35">
              <w:t>Smarter Working policy</w:t>
            </w:r>
            <w:r w:rsidR="00D549D5" w:rsidRPr="00822A35">
              <w:t xml:space="preserve"> allowing for flexib</w:t>
            </w:r>
            <w:r w:rsidR="00553AA8" w:rsidRPr="00822A35">
              <w:t>ility in location</w:t>
            </w:r>
            <w:r w:rsidR="0047248F" w:rsidRPr="00822A35">
              <w:t>.</w:t>
            </w:r>
          </w:p>
          <w:p w14:paraId="12DE39AD" w14:textId="28BA3533" w:rsidR="000D649B" w:rsidRPr="00822A35" w:rsidRDefault="00997699" w:rsidP="0024477F">
            <w:pPr>
              <w:spacing w:after="160" w:line="259" w:lineRule="auto"/>
            </w:pPr>
            <w:r w:rsidRPr="00822A35">
              <w:t>M</w:t>
            </w:r>
            <w:r w:rsidR="00592F48" w:rsidRPr="00822A35">
              <w:t xml:space="preserve">onthly team meetings </w:t>
            </w:r>
            <w:r w:rsidR="00C73F8D" w:rsidRPr="00822A35">
              <w:t>to be attended</w:t>
            </w:r>
            <w:r w:rsidRPr="00822A35">
              <w:t xml:space="preserve"> in person</w:t>
            </w:r>
            <w:r w:rsidR="00C73F8D" w:rsidRPr="00822A35">
              <w:t>, sometimes at other sites</w:t>
            </w:r>
            <w:r w:rsidR="00C01790" w:rsidRPr="00822A35">
              <w:t xml:space="preserve"> and ad hoc in person meetings will need to be attended where appropriate.</w:t>
            </w:r>
          </w:p>
          <w:p w14:paraId="7968840C" w14:textId="10BFF7CA" w:rsidR="008A1E59" w:rsidRPr="00B642BF" w:rsidRDefault="0024477F" w:rsidP="007B2360">
            <w:pPr>
              <w:spacing w:after="160" w:line="259" w:lineRule="auto"/>
              <w:rPr>
                <w:color w:val="425563" w:themeColor="text1"/>
              </w:rPr>
            </w:pPr>
            <w:r>
              <w:t>Commitment to supporting delivery of Company’s strategic goals and behaviours.  </w:t>
            </w:r>
          </w:p>
        </w:tc>
      </w:tr>
    </w:tbl>
    <w:p w14:paraId="41BC3BC2" w14:textId="141C6547" w:rsidR="002D2AE5" w:rsidRPr="00B642BF" w:rsidRDefault="00546323" w:rsidP="00546323">
      <w:pPr>
        <w:tabs>
          <w:tab w:val="left" w:pos="7050"/>
        </w:tabs>
        <w:spacing w:after="0" w:line="240" w:lineRule="auto"/>
        <w:rPr>
          <w:color w:val="425563" w:themeColor="text1"/>
        </w:rPr>
      </w:pPr>
      <w:r>
        <w:rPr>
          <w:color w:val="425563" w:themeColor="text1"/>
        </w:rPr>
        <w:tab/>
      </w:r>
    </w:p>
    <w:sectPr w:rsidR="002D2AE5" w:rsidRPr="00B642BF" w:rsidSect="00826E85">
      <w:headerReference w:type="default" r:id="rId10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CA9E" w14:textId="77777777" w:rsidR="00826E85" w:rsidRDefault="00826E85" w:rsidP="00777CA3">
      <w:pPr>
        <w:spacing w:after="0" w:line="240" w:lineRule="auto"/>
      </w:pPr>
      <w:r>
        <w:separator/>
      </w:r>
    </w:p>
  </w:endnote>
  <w:endnote w:type="continuationSeparator" w:id="0">
    <w:p w14:paraId="27F1F3EC" w14:textId="77777777" w:rsidR="00826E85" w:rsidRDefault="00826E85" w:rsidP="007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6921" w14:textId="77777777" w:rsidR="00826E85" w:rsidRDefault="00826E85" w:rsidP="00777CA3">
      <w:pPr>
        <w:spacing w:after="0" w:line="240" w:lineRule="auto"/>
      </w:pPr>
      <w:r>
        <w:separator/>
      </w:r>
    </w:p>
  </w:footnote>
  <w:footnote w:type="continuationSeparator" w:id="0">
    <w:p w14:paraId="1BCFC9CB" w14:textId="77777777" w:rsidR="00826E85" w:rsidRDefault="00826E85" w:rsidP="0077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C9C1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7380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B415D"/>
    <w:multiLevelType w:val="hybridMultilevel"/>
    <w:tmpl w:val="99BC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547"/>
    <w:multiLevelType w:val="hybridMultilevel"/>
    <w:tmpl w:val="B6845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7561"/>
    <w:multiLevelType w:val="hybridMultilevel"/>
    <w:tmpl w:val="B2B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B5266"/>
    <w:multiLevelType w:val="hybridMultilevel"/>
    <w:tmpl w:val="C14633A4"/>
    <w:lvl w:ilvl="0" w:tplc="8CBCA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2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4E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2E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C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EA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A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817E9"/>
    <w:multiLevelType w:val="hybridMultilevel"/>
    <w:tmpl w:val="7414ADD4"/>
    <w:lvl w:ilvl="0" w:tplc="08948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6999">
    <w:abstractNumId w:val="22"/>
  </w:num>
  <w:num w:numId="2" w16cid:durableId="159779142">
    <w:abstractNumId w:val="6"/>
  </w:num>
  <w:num w:numId="3" w16cid:durableId="2001034230">
    <w:abstractNumId w:val="5"/>
  </w:num>
  <w:num w:numId="4" w16cid:durableId="1522475771">
    <w:abstractNumId w:val="7"/>
  </w:num>
  <w:num w:numId="5" w16cid:durableId="1850026206">
    <w:abstractNumId w:val="4"/>
  </w:num>
  <w:num w:numId="6" w16cid:durableId="1189441514">
    <w:abstractNumId w:val="3"/>
  </w:num>
  <w:num w:numId="7" w16cid:durableId="1773629091">
    <w:abstractNumId w:val="19"/>
  </w:num>
  <w:num w:numId="8" w16cid:durableId="441001632">
    <w:abstractNumId w:val="21"/>
  </w:num>
  <w:num w:numId="9" w16cid:durableId="1529951500">
    <w:abstractNumId w:val="10"/>
  </w:num>
  <w:num w:numId="10" w16cid:durableId="290523657">
    <w:abstractNumId w:val="13"/>
  </w:num>
  <w:num w:numId="11" w16cid:durableId="706563770">
    <w:abstractNumId w:val="20"/>
  </w:num>
  <w:num w:numId="12" w16cid:durableId="573659197">
    <w:abstractNumId w:val="2"/>
  </w:num>
  <w:num w:numId="13" w16cid:durableId="81532021">
    <w:abstractNumId w:val="11"/>
  </w:num>
  <w:num w:numId="14" w16cid:durableId="140968417">
    <w:abstractNumId w:val="17"/>
  </w:num>
  <w:num w:numId="15" w16cid:durableId="822046171">
    <w:abstractNumId w:val="14"/>
  </w:num>
  <w:num w:numId="16" w16cid:durableId="1906794152">
    <w:abstractNumId w:val="16"/>
  </w:num>
  <w:num w:numId="17" w16cid:durableId="50353439">
    <w:abstractNumId w:val="15"/>
  </w:num>
  <w:num w:numId="18" w16cid:durableId="1900827106">
    <w:abstractNumId w:val="18"/>
  </w:num>
  <w:num w:numId="19" w16cid:durableId="450780061">
    <w:abstractNumId w:val="1"/>
  </w:num>
  <w:num w:numId="20" w16cid:durableId="1724016801">
    <w:abstractNumId w:val="0"/>
  </w:num>
  <w:num w:numId="21" w16cid:durableId="647590673">
    <w:abstractNumId w:val="9"/>
  </w:num>
  <w:num w:numId="22" w16cid:durableId="2112776941">
    <w:abstractNumId w:val="12"/>
  </w:num>
  <w:num w:numId="23" w16cid:durableId="1634024342">
    <w:abstractNumId w:val="8"/>
  </w:num>
  <w:num w:numId="24" w16cid:durableId="13759329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1A32"/>
    <w:rsid w:val="0000676C"/>
    <w:rsid w:val="00021345"/>
    <w:rsid w:val="000226D1"/>
    <w:rsid w:val="00024BEB"/>
    <w:rsid w:val="00035FCD"/>
    <w:rsid w:val="000453A2"/>
    <w:rsid w:val="00046F27"/>
    <w:rsid w:val="00053D08"/>
    <w:rsid w:val="00055385"/>
    <w:rsid w:val="00057E78"/>
    <w:rsid w:val="0006302C"/>
    <w:rsid w:val="000675A2"/>
    <w:rsid w:val="00077AB4"/>
    <w:rsid w:val="00077EF7"/>
    <w:rsid w:val="000812D6"/>
    <w:rsid w:val="000828EA"/>
    <w:rsid w:val="000837F0"/>
    <w:rsid w:val="00083ADE"/>
    <w:rsid w:val="000958B1"/>
    <w:rsid w:val="000B47CB"/>
    <w:rsid w:val="000B5BCF"/>
    <w:rsid w:val="000B5F47"/>
    <w:rsid w:val="000D202F"/>
    <w:rsid w:val="000D5206"/>
    <w:rsid w:val="000D649B"/>
    <w:rsid w:val="000E44BB"/>
    <w:rsid w:val="000E68B3"/>
    <w:rsid w:val="000F073D"/>
    <w:rsid w:val="00105EBD"/>
    <w:rsid w:val="00110AF0"/>
    <w:rsid w:val="00144A38"/>
    <w:rsid w:val="001477D8"/>
    <w:rsid w:val="00150A47"/>
    <w:rsid w:val="00152F3C"/>
    <w:rsid w:val="0017203A"/>
    <w:rsid w:val="001800D0"/>
    <w:rsid w:val="001A4862"/>
    <w:rsid w:val="001A5066"/>
    <w:rsid w:val="001D02B0"/>
    <w:rsid w:val="001D5FFF"/>
    <w:rsid w:val="001E0AF7"/>
    <w:rsid w:val="001E0B43"/>
    <w:rsid w:val="001E1F95"/>
    <w:rsid w:val="001F7D90"/>
    <w:rsid w:val="00226639"/>
    <w:rsid w:val="0022728C"/>
    <w:rsid w:val="00230D8F"/>
    <w:rsid w:val="00240211"/>
    <w:rsid w:val="00243000"/>
    <w:rsid w:val="002433C1"/>
    <w:rsid w:val="0024477F"/>
    <w:rsid w:val="002462B8"/>
    <w:rsid w:val="00265FA6"/>
    <w:rsid w:val="00270D75"/>
    <w:rsid w:val="002710B6"/>
    <w:rsid w:val="0027669E"/>
    <w:rsid w:val="002815B0"/>
    <w:rsid w:val="002A635B"/>
    <w:rsid w:val="002C4FFF"/>
    <w:rsid w:val="002C5776"/>
    <w:rsid w:val="002D2AE5"/>
    <w:rsid w:val="002D3AF6"/>
    <w:rsid w:val="002D60C4"/>
    <w:rsid w:val="00300BB1"/>
    <w:rsid w:val="0030119B"/>
    <w:rsid w:val="00302B16"/>
    <w:rsid w:val="00304159"/>
    <w:rsid w:val="003044C6"/>
    <w:rsid w:val="0031673A"/>
    <w:rsid w:val="003246B6"/>
    <w:rsid w:val="00336D51"/>
    <w:rsid w:val="00360957"/>
    <w:rsid w:val="00373EEA"/>
    <w:rsid w:val="00377283"/>
    <w:rsid w:val="0038488E"/>
    <w:rsid w:val="00387D92"/>
    <w:rsid w:val="0039110F"/>
    <w:rsid w:val="003930F3"/>
    <w:rsid w:val="00396820"/>
    <w:rsid w:val="003A4416"/>
    <w:rsid w:val="003B58EE"/>
    <w:rsid w:val="003C05A0"/>
    <w:rsid w:val="003C39FD"/>
    <w:rsid w:val="003D3C97"/>
    <w:rsid w:val="003E6476"/>
    <w:rsid w:val="003F6BF9"/>
    <w:rsid w:val="00400AA4"/>
    <w:rsid w:val="004011B2"/>
    <w:rsid w:val="00403C06"/>
    <w:rsid w:val="00404D88"/>
    <w:rsid w:val="00421B91"/>
    <w:rsid w:val="0042286A"/>
    <w:rsid w:val="0043104A"/>
    <w:rsid w:val="004318AC"/>
    <w:rsid w:val="004461B1"/>
    <w:rsid w:val="004559F4"/>
    <w:rsid w:val="0045791F"/>
    <w:rsid w:val="004673AB"/>
    <w:rsid w:val="00467BBE"/>
    <w:rsid w:val="0047248F"/>
    <w:rsid w:val="004822BB"/>
    <w:rsid w:val="004960A0"/>
    <w:rsid w:val="0049798A"/>
    <w:rsid w:val="004A0E28"/>
    <w:rsid w:val="004C118C"/>
    <w:rsid w:val="004C3B75"/>
    <w:rsid w:val="004C6C3B"/>
    <w:rsid w:val="004D73C4"/>
    <w:rsid w:val="004E2631"/>
    <w:rsid w:val="004E3EDA"/>
    <w:rsid w:val="004E4122"/>
    <w:rsid w:val="004E5AC8"/>
    <w:rsid w:val="004E5FE3"/>
    <w:rsid w:val="004F0564"/>
    <w:rsid w:val="004F219A"/>
    <w:rsid w:val="004F30CD"/>
    <w:rsid w:val="004F4AA5"/>
    <w:rsid w:val="004F78CF"/>
    <w:rsid w:val="00504D59"/>
    <w:rsid w:val="00522C7B"/>
    <w:rsid w:val="00546323"/>
    <w:rsid w:val="00553AA8"/>
    <w:rsid w:val="00556522"/>
    <w:rsid w:val="005647D9"/>
    <w:rsid w:val="00565E91"/>
    <w:rsid w:val="0057381A"/>
    <w:rsid w:val="00580E01"/>
    <w:rsid w:val="00592F48"/>
    <w:rsid w:val="005961C8"/>
    <w:rsid w:val="005A1F7F"/>
    <w:rsid w:val="005A20DC"/>
    <w:rsid w:val="005A6009"/>
    <w:rsid w:val="005B14E5"/>
    <w:rsid w:val="005B5166"/>
    <w:rsid w:val="005C6B84"/>
    <w:rsid w:val="005D0AE7"/>
    <w:rsid w:val="005D0D7E"/>
    <w:rsid w:val="005E75E1"/>
    <w:rsid w:val="005E7921"/>
    <w:rsid w:val="005F23C2"/>
    <w:rsid w:val="0060146E"/>
    <w:rsid w:val="00605E1A"/>
    <w:rsid w:val="00614626"/>
    <w:rsid w:val="00614DD5"/>
    <w:rsid w:val="00621770"/>
    <w:rsid w:val="00625930"/>
    <w:rsid w:val="006321DB"/>
    <w:rsid w:val="0063599A"/>
    <w:rsid w:val="006374F9"/>
    <w:rsid w:val="00637F04"/>
    <w:rsid w:val="006559E3"/>
    <w:rsid w:val="00684F69"/>
    <w:rsid w:val="006904A2"/>
    <w:rsid w:val="006C70CB"/>
    <w:rsid w:val="006D306F"/>
    <w:rsid w:val="006E084B"/>
    <w:rsid w:val="006E5ACC"/>
    <w:rsid w:val="006F10E9"/>
    <w:rsid w:val="00700E22"/>
    <w:rsid w:val="00702D94"/>
    <w:rsid w:val="00711EC9"/>
    <w:rsid w:val="00721058"/>
    <w:rsid w:val="00721151"/>
    <w:rsid w:val="007439C2"/>
    <w:rsid w:val="00752413"/>
    <w:rsid w:val="00762A40"/>
    <w:rsid w:val="00765C7C"/>
    <w:rsid w:val="00770E1E"/>
    <w:rsid w:val="00772DFB"/>
    <w:rsid w:val="0077355E"/>
    <w:rsid w:val="00777CA3"/>
    <w:rsid w:val="0078452B"/>
    <w:rsid w:val="007871EF"/>
    <w:rsid w:val="007916FE"/>
    <w:rsid w:val="00792FCD"/>
    <w:rsid w:val="00796A2D"/>
    <w:rsid w:val="007A38CE"/>
    <w:rsid w:val="007A7F35"/>
    <w:rsid w:val="007B2360"/>
    <w:rsid w:val="007C64D1"/>
    <w:rsid w:val="007D0605"/>
    <w:rsid w:val="007D06C4"/>
    <w:rsid w:val="007E15AC"/>
    <w:rsid w:val="008063BF"/>
    <w:rsid w:val="008125E2"/>
    <w:rsid w:val="00822A35"/>
    <w:rsid w:val="00823D19"/>
    <w:rsid w:val="00824605"/>
    <w:rsid w:val="0082652E"/>
    <w:rsid w:val="00826E85"/>
    <w:rsid w:val="008359DE"/>
    <w:rsid w:val="0084126E"/>
    <w:rsid w:val="00850230"/>
    <w:rsid w:val="00854AB1"/>
    <w:rsid w:val="00871C3F"/>
    <w:rsid w:val="008904B9"/>
    <w:rsid w:val="00890E4A"/>
    <w:rsid w:val="0089715F"/>
    <w:rsid w:val="008A1E59"/>
    <w:rsid w:val="008B13CF"/>
    <w:rsid w:val="008B4D08"/>
    <w:rsid w:val="008D6DBA"/>
    <w:rsid w:val="008F431D"/>
    <w:rsid w:val="008F651A"/>
    <w:rsid w:val="00906BCB"/>
    <w:rsid w:val="0090729D"/>
    <w:rsid w:val="009074F1"/>
    <w:rsid w:val="0091292A"/>
    <w:rsid w:val="00915D3A"/>
    <w:rsid w:val="00935724"/>
    <w:rsid w:val="00935D33"/>
    <w:rsid w:val="00936083"/>
    <w:rsid w:val="00946140"/>
    <w:rsid w:val="009568B1"/>
    <w:rsid w:val="009719C6"/>
    <w:rsid w:val="00976187"/>
    <w:rsid w:val="00984FA7"/>
    <w:rsid w:val="0099057C"/>
    <w:rsid w:val="00996033"/>
    <w:rsid w:val="00997699"/>
    <w:rsid w:val="009A1EA9"/>
    <w:rsid w:val="009A24CC"/>
    <w:rsid w:val="009A25EF"/>
    <w:rsid w:val="009A4871"/>
    <w:rsid w:val="009A5BC9"/>
    <w:rsid w:val="009A7582"/>
    <w:rsid w:val="009B0635"/>
    <w:rsid w:val="009B13ED"/>
    <w:rsid w:val="009B3344"/>
    <w:rsid w:val="009C46BC"/>
    <w:rsid w:val="009D07CE"/>
    <w:rsid w:val="009D1AB4"/>
    <w:rsid w:val="009D2BA8"/>
    <w:rsid w:val="009E5D75"/>
    <w:rsid w:val="00A209AA"/>
    <w:rsid w:val="00A22922"/>
    <w:rsid w:val="00A260FD"/>
    <w:rsid w:val="00A40B60"/>
    <w:rsid w:val="00A6248D"/>
    <w:rsid w:val="00A76E31"/>
    <w:rsid w:val="00A77F34"/>
    <w:rsid w:val="00A86970"/>
    <w:rsid w:val="00A8774D"/>
    <w:rsid w:val="00AA5348"/>
    <w:rsid w:val="00AA5EEA"/>
    <w:rsid w:val="00AA5F10"/>
    <w:rsid w:val="00AA7444"/>
    <w:rsid w:val="00AB172A"/>
    <w:rsid w:val="00AC572F"/>
    <w:rsid w:val="00AD75B3"/>
    <w:rsid w:val="00AD7B02"/>
    <w:rsid w:val="00AE1E16"/>
    <w:rsid w:val="00AF04A5"/>
    <w:rsid w:val="00B07BB4"/>
    <w:rsid w:val="00B10C37"/>
    <w:rsid w:val="00B2048A"/>
    <w:rsid w:val="00B22DA1"/>
    <w:rsid w:val="00B3260E"/>
    <w:rsid w:val="00B3483D"/>
    <w:rsid w:val="00B403EA"/>
    <w:rsid w:val="00B548FB"/>
    <w:rsid w:val="00B55618"/>
    <w:rsid w:val="00B55E15"/>
    <w:rsid w:val="00B61E18"/>
    <w:rsid w:val="00B62405"/>
    <w:rsid w:val="00B642BF"/>
    <w:rsid w:val="00B64C94"/>
    <w:rsid w:val="00B80FB8"/>
    <w:rsid w:val="00B97301"/>
    <w:rsid w:val="00BC0749"/>
    <w:rsid w:val="00BD51BB"/>
    <w:rsid w:val="00BE0747"/>
    <w:rsid w:val="00BE1C6C"/>
    <w:rsid w:val="00BE4DC2"/>
    <w:rsid w:val="00BE7AE4"/>
    <w:rsid w:val="00BF76AF"/>
    <w:rsid w:val="00C01790"/>
    <w:rsid w:val="00C049D5"/>
    <w:rsid w:val="00C074B7"/>
    <w:rsid w:val="00C10DDA"/>
    <w:rsid w:val="00C221D4"/>
    <w:rsid w:val="00C312EE"/>
    <w:rsid w:val="00C43318"/>
    <w:rsid w:val="00C6690C"/>
    <w:rsid w:val="00C73F8D"/>
    <w:rsid w:val="00C74086"/>
    <w:rsid w:val="00C76631"/>
    <w:rsid w:val="00C966EE"/>
    <w:rsid w:val="00CA5E3C"/>
    <w:rsid w:val="00CB5160"/>
    <w:rsid w:val="00CB7745"/>
    <w:rsid w:val="00CB7F12"/>
    <w:rsid w:val="00CC2146"/>
    <w:rsid w:val="00CC4C6B"/>
    <w:rsid w:val="00CC574D"/>
    <w:rsid w:val="00CE5E02"/>
    <w:rsid w:val="00CE64C5"/>
    <w:rsid w:val="00D124E7"/>
    <w:rsid w:val="00D17B7E"/>
    <w:rsid w:val="00D2614C"/>
    <w:rsid w:val="00D520A4"/>
    <w:rsid w:val="00D524B9"/>
    <w:rsid w:val="00D549D5"/>
    <w:rsid w:val="00D57EC7"/>
    <w:rsid w:val="00D679EA"/>
    <w:rsid w:val="00D720E8"/>
    <w:rsid w:val="00D72CF5"/>
    <w:rsid w:val="00D9305A"/>
    <w:rsid w:val="00DA75D2"/>
    <w:rsid w:val="00DB6A48"/>
    <w:rsid w:val="00DD66EE"/>
    <w:rsid w:val="00DD6BBE"/>
    <w:rsid w:val="00DE370A"/>
    <w:rsid w:val="00DE5336"/>
    <w:rsid w:val="00DE7C4C"/>
    <w:rsid w:val="00E0076D"/>
    <w:rsid w:val="00E05538"/>
    <w:rsid w:val="00E260C4"/>
    <w:rsid w:val="00E26357"/>
    <w:rsid w:val="00E36BD5"/>
    <w:rsid w:val="00E40FD6"/>
    <w:rsid w:val="00E5199D"/>
    <w:rsid w:val="00E738F5"/>
    <w:rsid w:val="00E745C9"/>
    <w:rsid w:val="00E852FB"/>
    <w:rsid w:val="00E86608"/>
    <w:rsid w:val="00E91DAE"/>
    <w:rsid w:val="00E91F11"/>
    <w:rsid w:val="00E9434D"/>
    <w:rsid w:val="00EB4D8A"/>
    <w:rsid w:val="00EE27FA"/>
    <w:rsid w:val="00EE52AD"/>
    <w:rsid w:val="00EF6995"/>
    <w:rsid w:val="00F05392"/>
    <w:rsid w:val="00F11C98"/>
    <w:rsid w:val="00F14EB5"/>
    <w:rsid w:val="00F15D34"/>
    <w:rsid w:val="00F15DD3"/>
    <w:rsid w:val="00F17E60"/>
    <w:rsid w:val="00F22FB8"/>
    <w:rsid w:val="00F27C14"/>
    <w:rsid w:val="00F32C32"/>
    <w:rsid w:val="00F37593"/>
    <w:rsid w:val="00F40F31"/>
    <w:rsid w:val="00F509EF"/>
    <w:rsid w:val="00F54C3B"/>
    <w:rsid w:val="00F7146A"/>
    <w:rsid w:val="00F85330"/>
    <w:rsid w:val="00F868A6"/>
    <w:rsid w:val="00F91401"/>
    <w:rsid w:val="00FA264A"/>
    <w:rsid w:val="00FB1AC2"/>
    <w:rsid w:val="00FB3AB0"/>
    <w:rsid w:val="00FB44BD"/>
    <w:rsid w:val="00FC4A80"/>
    <w:rsid w:val="00FC71DF"/>
    <w:rsid w:val="00FD2AF3"/>
    <w:rsid w:val="00FD6453"/>
    <w:rsid w:val="00FE3710"/>
    <w:rsid w:val="00FE530F"/>
    <w:rsid w:val="00FF15E8"/>
    <w:rsid w:val="00FF3FFF"/>
    <w:rsid w:val="0BF23F05"/>
    <w:rsid w:val="0E949831"/>
    <w:rsid w:val="11D49811"/>
    <w:rsid w:val="145667F7"/>
    <w:rsid w:val="26889179"/>
    <w:rsid w:val="333BCAD3"/>
    <w:rsid w:val="39578486"/>
    <w:rsid w:val="3B8AA4B7"/>
    <w:rsid w:val="3F8E5484"/>
    <w:rsid w:val="4442317E"/>
    <w:rsid w:val="4775BAE6"/>
    <w:rsid w:val="56F42880"/>
    <w:rsid w:val="5BA30181"/>
    <w:rsid w:val="661720B2"/>
    <w:rsid w:val="67861115"/>
    <w:rsid w:val="697DB22D"/>
    <w:rsid w:val="6B590072"/>
    <w:rsid w:val="7040972E"/>
    <w:rsid w:val="7DF018A3"/>
    <w:rsid w:val="7F52E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paragraph" w:styleId="NormalWeb">
    <w:name w:val="Normal (Web)"/>
    <w:basedOn w:val="Normal"/>
    <w:uiPriority w:val="99"/>
    <w:semiHidden/>
    <w:unhideWhenUsed/>
    <w:rsid w:val="005B516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Mark Onikoyi</cp:lastModifiedBy>
  <cp:revision>2</cp:revision>
  <dcterms:created xsi:type="dcterms:W3CDTF">2024-11-11T16:14:00Z</dcterms:created>
  <dcterms:modified xsi:type="dcterms:W3CDTF">2024-11-11T16:14:00Z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0x010100400CCB17005F2949B912E5C1C2482C61</vt:lpwstr>
  </property>
  <property fmtid="{D5CDD505-2E9C-101B-9397-08002B2CF9AE}" pid="3" name="_dlc_DocIdItemGuid">
    <vt:lpwstr>b2078e1c-80be-4cd1-a677-311f841c110f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IntranetPage">
    <vt:lpwstr>65;#Career Hub|58db1458-e2ae-4379-8cab-15eff3991f4b</vt:lpwstr>
  </property>
  <property fmtid="{D5CDD505-2E9C-101B-9397-08002B2CF9AE}" pid="7" name="subdirectorate">
    <vt:lpwstr/>
  </property>
  <property fmtid="{D5CDD505-2E9C-101B-9397-08002B2CF9AE}" pid="8" name="Directorate">
    <vt:lpwstr/>
  </property>
  <property fmtid="{D5CDD505-2E9C-101B-9397-08002B2CF9AE}" pid="9" name="IntranetPageTopic">
    <vt:lpwstr>66;#Hiring Managers|2b1d0beb-a32b-411a-811d-1b6d084079c1</vt:lpwstr>
  </property>
</Properties>
</file>