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76D3" w14:textId="481AD3AE" w:rsidR="00F54C3B" w:rsidRDefault="00F54C3B" w:rsidP="007871E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14925" wp14:editId="2029411F">
                <wp:simplePos x="0" y="0"/>
                <wp:positionH relativeFrom="column">
                  <wp:posOffset>-594995</wp:posOffset>
                </wp:positionH>
                <wp:positionV relativeFrom="paragraph">
                  <wp:posOffset>5715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69758AED" w:rsidR="007871EF" w:rsidRPr="009E5D75" w:rsidRDefault="007871EF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E5D7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snapshot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left:0;text-align:left;margin-left:-46.85pt;margin-top:.45pt;width:597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69758AED" w:rsidR="007871EF" w:rsidRPr="009E5D75" w:rsidRDefault="007871EF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E5D7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snapshot</w:t>
                      </w:r>
                    </w:p>
                  </w:txbxContent>
                </v:textbox>
              </v:rect>
            </w:pict>
          </mc:Fallback>
        </mc:AlternateContent>
      </w:r>
    </w:p>
    <w:p w14:paraId="595C91B9" w14:textId="242A906E" w:rsidR="0043104A" w:rsidRDefault="0043104A" w:rsidP="007871EF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0FF38596" w14:textId="77777777" w:rsidR="00BF76AF" w:rsidRPr="00BC0749" w:rsidRDefault="00BF76AF" w:rsidP="007871EF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68"/>
        <w:gridCol w:w="3730"/>
        <w:gridCol w:w="60"/>
        <w:gridCol w:w="999"/>
        <w:gridCol w:w="3945"/>
      </w:tblGrid>
      <w:tr w:rsidR="00BC0749" w14:paraId="3F19E83B" w14:textId="2DF18B3A" w:rsidTr="1E59BD2B">
        <w:trPr>
          <w:trHeight w:val="20"/>
        </w:trPr>
        <w:tc>
          <w:tcPr>
            <w:tcW w:w="1268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373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4807944E" w:rsidR="0049798A" w:rsidRPr="00B642BF" w:rsidRDefault="00C758C0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 xml:space="preserve">Information Governance </w:t>
            </w:r>
            <w:r w:rsidR="004B5327">
              <w:rPr>
                <w:color w:val="425563" w:themeColor="text1"/>
              </w:rPr>
              <w:t>Lead</w:t>
            </w:r>
          </w:p>
        </w:tc>
        <w:tc>
          <w:tcPr>
            <w:tcW w:w="1059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94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2A96B648" w:rsidR="00BC0749" w:rsidRPr="00B642BF" w:rsidRDefault="00AF04A5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Individual Contributor</w:t>
            </w:r>
          </w:p>
        </w:tc>
      </w:tr>
      <w:tr w:rsidR="005961C8" w:rsidRPr="005961C8" w14:paraId="2E843487" w14:textId="77777777" w:rsidTr="1E59BD2B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65D7270D" w:rsidR="00BC0749" w:rsidRPr="005961C8" w:rsidRDefault="00DC164E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About the Role</w:t>
            </w:r>
          </w:p>
        </w:tc>
      </w:tr>
      <w:tr w:rsidR="00BC0749" w14:paraId="2EC040B2" w14:textId="77777777" w:rsidTr="1E59BD2B">
        <w:trPr>
          <w:trHeight w:val="540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D8CB4AD" w14:textId="77777777" w:rsidR="007E2037" w:rsidRDefault="007E2037" w:rsidP="007E2037">
            <w:pPr>
              <w:rPr>
                <w:color w:val="425563" w:themeColor="text1"/>
              </w:rPr>
            </w:pPr>
            <w:r w:rsidRPr="007E2037">
              <w:rPr>
                <w:color w:val="425563" w:themeColor="text1"/>
              </w:rPr>
              <w:t>The Information Governance Team is responsible for driving a culture of good practice and compliance in the management of information across NHS Property Services. The team’s mission is to create a culture of information compliance by empowering and upskilling colleagues through active support and championing best practice​.  </w:t>
            </w:r>
          </w:p>
          <w:p w14:paraId="003BA76F" w14:textId="77777777" w:rsidR="007E2037" w:rsidRPr="007E2037" w:rsidRDefault="007E2037" w:rsidP="007E2037">
            <w:pPr>
              <w:rPr>
                <w:color w:val="425563" w:themeColor="text1"/>
              </w:rPr>
            </w:pPr>
          </w:p>
          <w:p w14:paraId="3627926C" w14:textId="537A2EE1" w:rsidR="00984FA7" w:rsidRPr="00B642BF" w:rsidRDefault="36CDC2B3" w:rsidP="117A14A8">
            <w:pPr>
              <w:rPr>
                <w:color w:val="425563" w:themeColor="text1"/>
              </w:rPr>
            </w:pPr>
            <w:r w:rsidRPr="117A14A8">
              <w:rPr>
                <w:color w:val="425563" w:themeColor="text1"/>
              </w:rPr>
              <w:t>The I</w:t>
            </w:r>
            <w:r w:rsidR="008E19DE">
              <w:rPr>
                <w:color w:val="425563" w:themeColor="text1"/>
              </w:rPr>
              <w:t xml:space="preserve">nformation </w:t>
            </w:r>
            <w:r w:rsidRPr="117A14A8">
              <w:rPr>
                <w:color w:val="425563" w:themeColor="text1"/>
              </w:rPr>
              <w:t>G</w:t>
            </w:r>
            <w:r w:rsidR="008E19DE">
              <w:rPr>
                <w:color w:val="425563" w:themeColor="text1"/>
              </w:rPr>
              <w:t>overnance Lead (IGL)</w:t>
            </w:r>
            <w:r w:rsidRPr="117A14A8">
              <w:rPr>
                <w:color w:val="425563" w:themeColor="text1"/>
              </w:rPr>
              <w:t xml:space="preserve"> is required to support the Information Governance team </w:t>
            </w:r>
            <w:r w:rsidR="6E3DBC05" w:rsidRPr="117A14A8">
              <w:rPr>
                <w:color w:val="425563" w:themeColor="text1"/>
              </w:rPr>
              <w:t>with roll</w:t>
            </w:r>
            <w:r w:rsidR="00735A75">
              <w:rPr>
                <w:color w:val="425563" w:themeColor="text1"/>
              </w:rPr>
              <w:t xml:space="preserve">ing </w:t>
            </w:r>
            <w:r w:rsidR="6E3DBC05" w:rsidRPr="117A14A8">
              <w:rPr>
                <w:color w:val="425563" w:themeColor="text1"/>
              </w:rPr>
              <w:t>out and embed</w:t>
            </w:r>
            <w:r w:rsidR="00735A75">
              <w:rPr>
                <w:color w:val="425563" w:themeColor="text1"/>
              </w:rPr>
              <w:t>ding</w:t>
            </w:r>
            <w:r w:rsidR="6E3DBC05" w:rsidRPr="117A14A8">
              <w:rPr>
                <w:color w:val="425563" w:themeColor="text1"/>
              </w:rPr>
              <w:t xml:space="preserve"> the Information Governance </w:t>
            </w:r>
            <w:r w:rsidR="00735A75" w:rsidRPr="117A14A8">
              <w:rPr>
                <w:color w:val="425563" w:themeColor="text1"/>
              </w:rPr>
              <w:t>Framework</w:t>
            </w:r>
            <w:r w:rsidR="00735A75">
              <w:rPr>
                <w:color w:val="425563" w:themeColor="text1"/>
              </w:rPr>
              <w:t xml:space="preserve"> across the organisation</w:t>
            </w:r>
            <w:r w:rsidR="6E3DBC05" w:rsidRPr="117A14A8">
              <w:rPr>
                <w:color w:val="425563" w:themeColor="text1"/>
              </w:rPr>
              <w:t xml:space="preserve"> and ensur</w:t>
            </w:r>
            <w:r w:rsidR="00735A75">
              <w:rPr>
                <w:color w:val="425563" w:themeColor="text1"/>
              </w:rPr>
              <w:t>ing</w:t>
            </w:r>
            <w:r w:rsidR="6E3DBC05" w:rsidRPr="117A14A8">
              <w:rPr>
                <w:color w:val="425563" w:themeColor="text1"/>
              </w:rPr>
              <w:t xml:space="preserve"> all regulatory requirements are met. </w:t>
            </w:r>
          </w:p>
          <w:p w14:paraId="093D2F75" w14:textId="67FB7B22" w:rsidR="00984FA7" w:rsidRPr="00B642BF" w:rsidRDefault="00984FA7" w:rsidP="117A14A8">
            <w:pPr>
              <w:rPr>
                <w:color w:val="425563" w:themeColor="text1"/>
              </w:rPr>
            </w:pPr>
          </w:p>
          <w:p w14:paraId="192DEE67" w14:textId="77777777" w:rsidR="008E19DE" w:rsidRDefault="6E3DBC05" w:rsidP="008E19DE">
            <w:pPr>
              <w:rPr>
                <w:color w:val="425563" w:themeColor="text1"/>
              </w:rPr>
            </w:pPr>
            <w:r w:rsidRPr="117A14A8">
              <w:rPr>
                <w:color w:val="425563" w:themeColor="text1"/>
              </w:rPr>
              <w:t>The IG</w:t>
            </w:r>
            <w:r w:rsidR="000479CE">
              <w:rPr>
                <w:color w:val="425563" w:themeColor="text1"/>
              </w:rPr>
              <w:t>O</w:t>
            </w:r>
            <w:r w:rsidRPr="117A14A8">
              <w:rPr>
                <w:color w:val="425563" w:themeColor="text1"/>
              </w:rPr>
              <w:t xml:space="preserve"> also plays a key role in ensuring company-wide policies are in place and embedded, to improve and maintain the Information Governance and GDPR </w:t>
            </w:r>
            <w:r w:rsidR="3AF2F376" w:rsidRPr="117A14A8">
              <w:rPr>
                <w:color w:val="425563" w:themeColor="text1"/>
              </w:rPr>
              <w:t>environment</w:t>
            </w:r>
            <w:r w:rsidR="0B91D260" w:rsidRPr="117A14A8">
              <w:rPr>
                <w:color w:val="425563" w:themeColor="text1"/>
              </w:rPr>
              <w:t>.</w:t>
            </w:r>
            <w:r w:rsidR="008E19DE" w:rsidRPr="117A14A8">
              <w:rPr>
                <w:color w:val="425563" w:themeColor="text1"/>
              </w:rPr>
              <w:t xml:space="preserve"> </w:t>
            </w:r>
          </w:p>
          <w:p w14:paraId="608A02C0" w14:textId="77777777" w:rsidR="008E19DE" w:rsidRDefault="008E19DE" w:rsidP="008E19DE">
            <w:pPr>
              <w:rPr>
                <w:color w:val="425563" w:themeColor="text1"/>
              </w:rPr>
            </w:pPr>
          </w:p>
          <w:p w14:paraId="7225C9EB" w14:textId="3953935A" w:rsidR="00984FA7" w:rsidRPr="00B642BF" w:rsidRDefault="008E19DE" w:rsidP="007871EF">
            <w:pPr>
              <w:rPr>
                <w:color w:val="425563" w:themeColor="text1"/>
              </w:rPr>
            </w:pPr>
            <w:r w:rsidRPr="117A14A8">
              <w:rPr>
                <w:color w:val="425563" w:themeColor="text1"/>
              </w:rPr>
              <w:t xml:space="preserve">The IGO is </w:t>
            </w:r>
            <w:r w:rsidR="0074244C">
              <w:rPr>
                <w:color w:val="425563" w:themeColor="text1"/>
              </w:rPr>
              <w:t xml:space="preserve">required </w:t>
            </w:r>
            <w:r w:rsidRPr="117A14A8">
              <w:rPr>
                <w:color w:val="425563" w:themeColor="text1"/>
              </w:rPr>
              <w:t>to provide effective day-to-day management of appropriate and lawful disclosure of information under the Freedom of Information Act (FOIA), by working collaboratively with all parts of the business.</w:t>
            </w:r>
          </w:p>
        </w:tc>
      </w:tr>
      <w:tr w:rsidR="002D3AF6" w:rsidRPr="002D3AF6" w14:paraId="79A34FCC" w14:textId="77777777" w:rsidTr="1E59BD2B">
        <w:trPr>
          <w:trHeight w:val="57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4E25F93D" w:rsidR="00BC0749" w:rsidRPr="002D3AF6" w:rsidRDefault="00DC164E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Key Responsibilities</w:t>
            </w:r>
          </w:p>
        </w:tc>
      </w:tr>
      <w:tr w:rsidR="00B2048A" w:rsidRPr="00B2048A" w14:paraId="1668AAD5" w14:textId="77777777" w:rsidTr="1E59BD2B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9DA095A" w14:textId="2C9B75BE" w:rsidR="009A4F8F" w:rsidRPr="00FB007B" w:rsidRDefault="009A4F8F" w:rsidP="00FB007B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t xml:space="preserve">Support the development, </w:t>
            </w:r>
            <w:proofErr w:type="gramStart"/>
            <w:r w:rsidRPr="1E59BD2B">
              <w:rPr>
                <w:color w:val="425563" w:themeColor="text1"/>
              </w:rPr>
              <w:t>promotion</w:t>
            </w:r>
            <w:proofErr w:type="gramEnd"/>
            <w:r w:rsidRPr="1E59BD2B">
              <w:rPr>
                <w:color w:val="425563" w:themeColor="text1"/>
              </w:rPr>
              <w:t xml:space="preserve"> and implementation of the organisation’s Information Governance and GDPR framework.</w:t>
            </w:r>
          </w:p>
          <w:p w14:paraId="44F6C5BF" w14:textId="43D4142B" w:rsidR="00633642" w:rsidRDefault="00633642" w:rsidP="009A4F8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t xml:space="preserve">Provide IG advice, guidance and support to the Data Protection Officer, Senior Information Risk Owner, </w:t>
            </w:r>
            <w:r w:rsidR="00BA30E7" w:rsidRPr="1E59BD2B">
              <w:rPr>
                <w:color w:val="425563" w:themeColor="text1"/>
              </w:rPr>
              <w:t>D</w:t>
            </w:r>
            <w:r w:rsidR="00F501B7" w:rsidRPr="1E59BD2B">
              <w:rPr>
                <w:color w:val="425563" w:themeColor="text1"/>
              </w:rPr>
              <w:t>PO/SIRO/Caldicott Guardian forum</w:t>
            </w:r>
            <w:r w:rsidRPr="1E59BD2B">
              <w:rPr>
                <w:color w:val="425563" w:themeColor="text1"/>
              </w:rPr>
              <w:t xml:space="preserve"> and company-wide</w:t>
            </w:r>
            <w:r w:rsidR="00F501B7" w:rsidRPr="1E59BD2B">
              <w:rPr>
                <w:color w:val="425563" w:themeColor="text1"/>
              </w:rPr>
              <w:t xml:space="preserve"> </w:t>
            </w:r>
            <w:proofErr w:type="gramStart"/>
            <w:r w:rsidR="540614B8" w:rsidRPr="1E59BD2B">
              <w:rPr>
                <w:color w:val="425563" w:themeColor="text1"/>
              </w:rPr>
              <w:t>colleagues</w:t>
            </w:r>
            <w:proofErr w:type="gramEnd"/>
          </w:p>
          <w:p w14:paraId="48DBF378" w14:textId="5629A76F" w:rsidR="001D2142" w:rsidRPr="00D82B41" w:rsidRDefault="001D2142" w:rsidP="001D2142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D82B41">
              <w:rPr>
                <w:color w:val="425563" w:themeColor="text1"/>
              </w:rPr>
              <w:t xml:space="preserve">Co-ordinate and administer </w:t>
            </w:r>
            <w:r w:rsidR="469FFF16" w:rsidRPr="117A14A8">
              <w:rPr>
                <w:color w:val="425563" w:themeColor="text1"/>
              </w:rPr>
              <w:t>information requests, including but not limited to,</w:t>
            </w:r>
            <w:r w:rsidR="01B94E6E" w:rsidRPr="117A14A8">
              <w:rPr>
                <w:color w:val="425563" w:themeColor="text1"/>
              </w:rPr>
              <w:t xml:space="preserve"> </w:t>
            </w:r>
            <w:r w:rsidRPr="00D82B41">
              <w:rPr>
                <w:color w:val="425563" w:themeColor="text1"/>
              </w:rPr>
              <w:t xml:space="preserve">FOI/SAR requests through collaborating with key stakeholders to obtain the relevant </w:t>
            </w:r>
            <w:r w:rsidR="000479CE" w:rsidRPr="00D82B41">
              <w:rPr>
                <w:color w:val="425563" w:themeColor="text1"/>
              </w:rPr>
              <w:t>information</w:t>
            </w:r>
            <w:r w:rsidR="000479CE" w:rsidRPr="117A14A8">
              <w:rPr>
                <w:color w:val="425563" w:themeColor="text1"/>
              </w:rPr>
              <w:t>,</w:t>
            </w:r>
            <w:r w:rsidR="000479CE" w:rsidRPr="00D82B41">
              <w:rPr>
                <w:color w:val="425563" w:themeColor="text1"/>
              </w:rPr>
              <w:t xml:space="preserve"> present</w:t>
            </w:r>
            <w:r w:rsidRPr="00D82B41">
              <w:rPr>
                <w:color w:val="425563" w:themeColor="text1"/>
              </w:rPr>
              <w:t xml:space="preserve"> appropriately</w:t>
            </w:r>
            <w:r w:rsidR="0AA48161" w:rsidRPr="117A14A8">
              <w:rPr>
                <w:color w:val="425563" w:themeColor="text1"/>
              </w:rPr>
              <w:t xml:space="preserve"> and maintain </w:t>
            </w:r>
            <w:proofErr w:type="gramStart"/>
            <w:r w:rsidR="0AA48161" w:rsidRPr="117A14A8">
              <w:rPr>
                <w:color w:val="425563" w:themeColor="text1"/>
              </w:rPr>
              <w:t>database</w:t>
            </w:r>
            <w:proofErr w:type="gramEnd"/>
          </w:p>
          <w:p w14:paraId="26E01839" w14:textId="73B029C6" w:rsidR="285B074C" w:rsidRDefault="285B074C" w:rsidP="117A14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17A14A8">
              <w:rPr>
                <w:color w:val="425563" w:themeColor="text1"/>
              </w:rPr>
              <w:t xml:space="preserve">Produce information and analysis that evidence compliance with FOI/SAR request, and provide insight into themes and </w:t>
            </w:r>
            <w:proofErr w:type="gramStart"/>
            <w:r w:rsidRPr="117A14A8">
              <w:rPr>
                <w:color w:val="425563" w:themeColor="text1"/>
              </w:rPr>
              <w:t>trends</w:t>
            </w:r>
            <w:proofErr w:type="gramEnd"/>
          </w:p>
          <w:p w14:paraId="470B0D4F" w14:textId="2C9872F7" w:rsidR="344D8435" w:rsidRDefault="344D8435" w:rsidP="117A14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17A14A8">
              <w:rPr>
                <w:color w:val="425563" w:themeColor="text1"/>
              </w:rPr>
              <w:t>Review and update FOI policy as and when necessary</w:t>
            </w:r>
          </w:p>
          <w:p w14:paraId="69193EF6" w14:textId="05F24DFB" w:rsidR="0E84B823" w:rsidRDefault="0E84B823" w:rsidP="117A14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17A14A8">
              <w:rPr>
                <w:color w:val="425563" w:themeColor="text1"/>
              </w:rPr>
              <w:t xml:space="preserve">Review and enhance the company Publication Scheme aligning it to FOIA </w:t>
            </w:r>
            <w:r w:rsidR="7C59593A" w:rsidRPr="117A14A8">
              <w:rPr>
                <w:color w:val="425563" w:themeColor="text1"/>
              </w:rPr>
              <w:t>and ICO model publication scheme.</w:t>
            </w:r>
          </w:p>
          <w:p w14:paraId="4A0D1CCF" w14:textId="77777777" w:rsidR="00633642" w:rsidRPr="00633642" w:rsidRDefault="00633642" w:rsidP="009A4F8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633642">
              <w:rPr>
                <w:color w:val="425563" w:themeColor="text1"/>
              </w:rPr>
              <w:t xml:space="preserve">Support the completion of Data Protection Impact Assessments and supplier </w:t>
            </w:r>
            <w:proofErr w:type="gramStart"/>
            <w:r w:rsidRPr="00633642">
              <w:rPr>
                <w:color w:val="425563" w:themeColor="text1"/>
              </w:rPr>
              <w:t>reviews</w:t>
            </w:r>
            <w:proofErr w:type="gramEnd"/>
            <w:r w:rsidRPr="00633642">
              <w:rPr>
                <w:color w:val="425563" w:themeColor="text1"/>
              </w:rPr>
              <w:t xml:space="preserve"> </w:t>
            </w:r>
          </w:p>
          <w:p w14:paraId="741704AB" w14:textId="77777777" w:rsidR="00633642" w:rsidRPr="00633642" w:rsidRDefault="00633642" w:rsidP="009A4F8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633642">
              <w:rPr>
                <w:color w:val="425563" w:themeColor="text1"/>
              </w:rPr>
              <w:t xml:space="preserve">Undertake SARs and escalate internal reviews for FOI to ensure these are managed and processed </w:t>
            </w:r>
            <w:proofErr w:type="gramStart"/>
            <w:r w:rsidRPr="00633642">
              <w:rPr>
                <w:color w:val="425563" w:themeColor="text1"/>
              </w:rPr>
              <w:t>effectively</w:t>
            </w:r>
            <w:proofErr w:type="gramEnd"/>
          </w:p>
          <w:p w14:paraId="321AFB4C" w14:textId="77777777" w:rsidR="00633642" w:rsidRDefault="00633642" w:rsidP="009A4F8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633642">
              <w:rPr>
                <w:color w:val="425563" w:themeColor="text1"/>
              </w:rPr>
              <w:t xml:space="preserve">Support the collection of evidence and submission of the NHS DSP Toolkit </w:t>
            </w:r>
            <w:proofErr w:type="gramStart"/>
            <w:r w:rsidRPr="00633642">
              <w:rPr>
                <w:color w:val="425563" w:themeColor="text1"/>
              </w:rPr>
              <w:t>annually</w:t>
            </w:r>
            <w:proofErr w:type="gramEnd"/>
          </w:p>
          <w:p w14:paraId="01BCD241" w14:textId="5325E93D" w:rsidR="00927593" w:rsidRPr="00633642" w:rsidRDefault="00927593" w:rsidP="009A4F8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>
              <w:rPr>
                <w:color w:val="425563" w:themeColor="text1"/>
              </w:rPr>
              <w:t xml:space="preserve">Manage assurance projects such as CCTV </w:t>
            </w:r>
            <w:r w:rsidR="00030ED5">
              <w:rPr>
                <w:color w:val="425563" w:themeColor="text1"/>
              </w:rPr>
              <w:t xml:space="preserve">compliance </w:t>
            </w:r>
            <w:r>
              <w:rPr>
                <w:color w:val="425563" w:themeColor="text1"/>
              </w:rPr>
              <w:t>and PCI Compliance</w:t>
            </w:r>
          </w:p>
          <w:p w14:paraId="50277118" w14:textId="77777777" w:rsidR="00633642" w:rsidRPr="00633642" w:rsidRDefault="00633642" w:rsidP="009A4F8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633642">
              <w:rPr>
                <w:color w:val="425563" w:themeColor="text1"/>
              </w:rPr>
              <w:t xml:space="preserve">Assist specialist training on access to information and transparency to all levels of colleagues within the </w:t>
            </w:r>
            <w:proofErr w:type="gramStart"/>
            <w:r w:rsidRPr="00633642">
              <w:rPr>
                <w:color w:val="425563" w:themeColor="text1"/>
              </w:rPr>
              <w:t>organisations</w:t>
            </w:r>
            <w:proofErr w:type="gramEnd"/>
            <w:r w:rsidRPr="00633642">
              <w:rPr>
                <w:color w:val="425563" w:themeColor="text1"/>
              </w:rPr>
              <w:t xml:space="preserve"> </w:t>
            </w:r>
          </w:p>
          <w:p w14:paraId="2E681A41" w14:textId="77777777" w:rsidR="00984FA7" w:rsidRDefault="00633642" w:rsidP="009A4F8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t xml:space="preserve">Develop key stakeholder engagement and integration of Information Governance activities across the business including internal and external </w:t>
            </w:r>
            <w:proofErr w:type="gramStart"/>
            <w:r w:rsidRPr="1E59BD2B">
              <w:rPr>
                <w:color w:val="425563" w:themeColor="text1"/>
              </w:rPr>
              <w:t>communications</w:t>
            </w:r>
            <w:proofErr w:type="gramEnd"/>
            <w:r w:rsidRPr="1E59BD2B">
              <w:rPr>
                <w:color w:val="425563" w:themeColor="text1"/>
              </w:rPr>
              <w:t xml:space="preserve"> </w:t>
            </w:r>
          </w:p>
          <w:p w14:paraId="58512331" w14:textId="77777777" w:rsidR="00E0326C" w:rsidRDefault="00084227" w:rsidP="00FB007B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6C08A5">
              <w:rPr>
                <w:color w:val="425563" w:themeColor="text1"/>
              </w:rPr>
              <w:t>I</w:t>
            </w:r>
            <w:r w:rsidR="00E0326C" w:rsidRPr="006C08A5">
              <w:rPr>
                <w:color w:val="425563" w:themeColor="text1"/>
              </w:rPr>
              <w:t xml:space="preserve">nput into the governance of information management and data handling practices across NHS Property Services. </w:t>
            </w:r>
          </w:p>
          <w:p w14:paraId="16D577FC" w14:textId="57A8B3E3" w:rsidR="00465D6F" w:rsidRPr="00FB007B" w:rsidRDefault="00465D6F" w:rsidP="00FB007B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lastRenderedPageBreak/>
              <w:t xml:space="preserve">Manage IG Inbox and </w:t>
            </w:r>
            <w:r w:rsidR="2A49F46A" w:rsidRPr="1E59BD2B">
              <w:rPr>
                <w:color w:val="425563" w:themeColor="text1"/>
              </w:rPr>
              <w:t>escalate inquiries appropriately</w:t>
            </w:r>
            <w:r w:rsidRPr="1E59BD2B">
              <w:rPr>
                <w:color w:val="425563" w:themeColor="text1"/>
              </w:rPr>
              <w:t>.</w:t>
            </w:r>
          </w:p>
        </w:tc>
      </w:tr>
      <w:tr w:rsidR="00BC0749" w14:paraId="5EC0158A" w14:textId="77777777" w:rsidTr="1E59BD2B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0A1C7FDB" w:rsidR="00BC0749" w:rsidRPr="00AA5F10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AA5F10">
              <w:rPr>
                <w:b/>
                <w:bCs/>
                <w:color w:val="FFFFFF" w:themeColor="background1"/>
              </w:rPr>
              <w:lastRenderedPageBreak/>
              <w:t>What helps people succeed in this role?</w:t>
            </w:r>
          </w:p>
        </w:tc>
      </w:tr>
      <w:tr w:rsidR="004C3B75" w:rsidRPr="004C3B75" w14:paraId="38DEA0B5" w14:textId="77777777" w:rsidTr="1E59BD2B">
        <w:trPr>
          <w:trHeight w:val="20"/>
        </w:trPr>
        <w:tc>
          <w:tcPr>
            <w:tcW w:w="5058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4944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1E59BD2B">
        <w:trPr>
          <w:trHeight w:val="683"/>
        </w:trPr>
        <w:tc>
          <w:tcPr>
            <w:tcW w:w="5058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0C00A2C" w14:textId="68976BD9" w:rsidR="00A344A3" w:rsidRPr="00341E1F" w:rsidRDefault="00C87ECB" w:rsidP="00240211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341E1F">
              <w:rPr>
                <w:color w:val="425563" w:themeColor="text1"/>
              </w:rPr>
              <w:t>Experience of working in a large organisation</w:t>
            </w:r>
          </w:p>
          <w:p w14:paraId="3A656D1F" w14:textId="661B1984" w:rsidR="00984FA7" w:rsidRDefault="006576D5" w:rsidP="00240211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>
              <w:rPr>
                <w:color w:val="425563" w:themeColor="text1"/>
              </w:rPr>
              <w:t>Experience d</w:t>
            </w:r>
            <w:r w:rsidR="00C87ECB" w:rsidRPr="00F9389B">
              <w:rPr>
                <w:color w:val="425563" w:themeColor="text1"/>
              </w:rPr>
              <w:t xml:space="preserve">ealing with multiple enquiries and tasks simultaneously in a timely </w:t>
            </w:r>
            <w:proofErr w:type="gramStart"/>
            <w:r w:rsidR="00C87ECB" w:rsidRPr="00F9389B">
              <w:rPr>
                <w:color w:val="425563" w:themeColor="text1"/>
              </w:rPr>
              <w:t>manner</w:t>
            </w:r>
            <w:proofErr w:type="gramEnd"/>
          </w:p>
          <w:p w14:paraId="067C6F8E" w14:textId="15556C96" w:rsidR="00341E1F" w:rsidRPr="00341E1F" w:rsidRDefault="00341E1F" w:rsidP="00341E1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341E1F">
              <w:rPr>
                <w:color w:val="425563" w:themeColor="text1"/>
              </w:rPr>
              <w:t xml:space="preserve">Experience </w:t>
            </w:r>
            <w:r w:rsidR="006576D5">
              <w:rPr>
                <w:color w:val="425563" w:themeColor="text1"/>
              </w:rPr>
              <w:t>engaging</w:t>
            </w:r>
            <w:r w:rsidRPr="00341E1F">
              <w:rPr>
                <w:color w:val="425563" w:themeColor="text1"/>
              </w:rPr>
              <w:t xml:space="preserve"> with the Information Commissioner’s Office</w:t>
            </w:r>
          </w:p>
          <w:p w14:paraId="3938F34D" w14:textId="00F58473" w:rsidR="00984FA7" w:rsidRPr="00D64554" w:rsidRDefault="006576D5" w:rsidP="00D64554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>
              <w:rPr>
                <w:color w:val="425563" w:themeColor="text1"/>
              </w:rPr>
              <w:t>Experience l</w:t>
            </w:r>
            <w:r w:rsidR="00D64554" w:rsidRPr="00341E1F">
              <w:rPr>
                <w:color w:val="425563" w:themeColor="text1"/>
              </w:rPr>
              <w:t>iais</w:t>
            </w:r>
            <w:r w:rsidR="00D64554">
              <w:rPr>
                <w:color w:val="425563" w:themeColor="text1"/>
              </w:rPr>
              <w:t>ing</w:t>
            </w:r>
            <w:r w:rsidR="00D64554" w:rsidRPr="00341E1F">
              <w:rPr>
                <w:color w:val="425563" w:themeColor="text1"/>
              </w:rPr>
              <w:t xml:space="preserve"> with legal or para-legal functions</w:t>
            </w:r>
          </w:p>
        </w:tc>
        <w:tc>
          <w:tcPr>
            <w:tcW w:w="4944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1788E77" w14:textId="433ED628" w:rsidR="00341E1F" w:rsidRDefault="00341E1F" w:rsidP="00341E1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341E1F">
              <w:rPr>
                <w:color w:val="425563" w:themeColor="text1"/>
              </w:rPr>
              <w:t>Presentation</w:t>
            </w:r>
            <w:r w:rsidR="00A74CAF">
              <w:rPr>
                <w:color w:val="425563" w:themeColor="text1"/>
              </w:rPr>
              <w:t xml:space="preserve"> and reporting</w:t>
            </w:r>
          </w:p>
          <w:p w14:paraId="5FCFBB94" w14:textId="4361A178" w:rsidR="00A74CAF" w:rsidRPr="00341E1F" w:rsidRDefault="00A74CAF" w:rsidP="00341E1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>
              <w:rPr>
                <w:color w:val="425563" w:themeColor="text1"/>
              </w:rPr>
              <w:t xml:space="preserve">Communication </w:t>
            </w:r>
          </w:p>
          <w:p w14:paraId="18FE42AD" w14:textId="204013BE" w:rsidR="00341E1F" w:rsidRPr="00341E1F" w:rsidRDefault="00341E1F" w:rsidP="00341E1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341E1F">
              <w:rPr>
                <w:color w:val="425563" w:themeColor="text1"/>
              </w:rPr>
              <w:t xml:space="preserve">Project Management </w:t>
            </w:r>
          </w:p>
          <w:p w14:paraId="4E9D85DA" w14:textId="78515AA3" w:rsidR="00984FA7" w:rsidRPr="00A74CAF" w:rsidRDefault="00341E1F" w:rsidP="00A74CA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341E1F">
              <w:rPr>
                <w:color w:val="425563" w:themeColor="text1"/>
              </w:rPr>
              <w:t xml:space="preserve">Relationship management </w:t>
            </w:r>
          </w:p>
          <w:p w14:paraId="0C24DE94" w14:textId="6AC4E354" w:rsidR="00CE2509" w:rsidRPr="00CE2509" w:rsidRDefault="006576D5" w:rsidP="00CE2509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>
              <w:rPr>
                <w:color w:val="425563" w:themeColor="text1"/>
              </w:rPr>
              <w:t>Q</w:t>
            </w:r>
            <w:r w:rsidR="00CE2509" w:rsidRPr="00CE2509">
              <w:rPr>
                <w:color w:val="425563" w:themeColor="text1"/>
              </w:rPr>
              <w:t>uality</w:t>
            </w:r>
            <w:r>
              <w:rPr>
                <w:color w:val="425563" w:themeColor="text1"/>
              </w:rPr>
              <w:t xml:space="preserve"> and </w:t>
            </w:r>
            <w:r w:rsidR="00CE2509" w:rsidRPr="00CE2509">
              <w:rPr>
                <w:color w:val="425563" w:themeColor="text1"/>
              </w:rPr>
              <w:t>accuracy</w:t>
            </w:r>
          </w:p>
          <w:p w14:paraId="2CB74D79" w14:textId="50154B8E" w:rsidR="00A74CAF" w:rsidRPr="00A74CAF" w:rsidRDefault="006576D5" w:rsidP="00A74CA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t xml:space="preserve">Planning, organising and </w:t>
            </w:r>
            <w:proofErr w:type="gramStart"/>
            <w:r w:rsidRPr="1E59BD2B">
              <w:rPr>
                <w:color w:val="425563" w:themeColor="text1"/>
              </w:rPr>
              <w:t>delivery</w:t>
            </w:r>
            <w:proofErr w:type="gramEnd"/>
          </w:p>
          <w:p w14:paraId="58DAA1AB" w14:textId="633230AA" w:rsidR="00A74CAF" w:rsidRPr="00A74CAF" w:rsidRDefault="3847F0C7" w:rsidP="00A74CA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t>Training and enabling of colleagues</w:t>
            </w:r>
            <w:r w:rsidR="2D8D4822" w:rsidRPr="1E59BD2B">
              <w:rPr>
                <w:color w:val="425563" w:themeColor="text1"/>
              </w:rPr>
              <w:t xml:space="preserve"> at all levels</w:t>
            </w:r>
            <w:r w:rsidR="4DE0EB76" w:rsidRPr="1E59BD2B">
              <w:rPr>
                <w:color w:val="425563" w:themeColor="text1"/>
              </w:rPr>
              <w:t xml:space="preserve"> </w:t>
            </w:r>
          </w:p>
        </w:tc>
      </w:tr>
      <w:tr w:rsidR="004F219A" w:rsidRPr="004F219A" w14:paraId="36AFF77F" w14:textId="77777777" w:rsidTr="1E59BD2B">
        <w:trPr>
          <w:trHeight w:val="57"/>
        </w:trPr>
        <w:tc>
          <w:tcPr>
            <w:tcW w:w="5058" w:type="dxa"/>
            <w:gridSpan w:val="3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4944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B2048A" w14:paraId="070B5381" w14:textId="77777777" w:rsidTr="1E59BD2B">
        <w:tc>
          <w:tcPr>
            <w:tcW w:w="5058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4987DC4" w14:textId="5E6D8D77" w:rsidR="00CC19D0" w:rsidRPr="00CC19D0" w:rsidRDefault="00CC19D0" w:rsidP="00CC19D0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t>Knowledge of the Data Protection Act 2018 and GDPR</w:t>
            </w:r>
          </w:p>
          <w:p w14:paraId="6D0A0ADB" w14:textId="51EA2FFE" w:rsidR="00984FA7" w:rsidRPr="00633642" w:rsidRDefault="00CC19D0" w:rsidP="00633642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t>Knowledge of the Freedom of Information Act 2000</w:t>
            </w:r>
            <w:r w:rsidR="00633642" w:rsidRPr="1E59BD2B">
              <w:rPr>
                <w:color w:val="425563" w:themeColor="text1"/>
              </w:rPr>
              <w:t xml:space="preserve"> and </w:t>
            </w:r>
            <w:r w:rsidRPr="1E59BD2B">
              <w:rPr>
                <w:color w:val="425563" w:themeColor="text1"/>
              </w:rPr>
              <w:t>the Environmental Information Regulations 2004</w:t>
            </w:r>
          </w:p>
          <w:p w14:paraId="5C61EA91" w14:textId="5F286090" w:rsidR="00182AD2" w:rsidRPr="006F4E98" w:rsidRDefault="00182AD2" w:rsidP="006F4E9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t xml:space="preserve">Advanced knowledge of Microsoft Office applications </w:t>
            </w:r>
          </w:p>
        </w:tc>
        <w:tc>
          <w:tcPr>
            <w:tcW w:w="4944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277BFF1" w14:textId="26574305" w:rsidR="00984FA7" w:rsidRPr="00CE2934" w:rsidRDefault="00CE2934" w:rsidP="00CE2934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1E59BD2B">
              <w:rPr>
                <w:color w:val="425563" w:themeColor="text1"/>
              </w:rPr>
              <w:t>Degree</w:t>
            </w:r>
            <w:r w:rsidR="00A74CAF" w:rsidRPr="1E59BD2B">
              <w:rPr>
                <w:color w:val="425563" w:themeColor="text1"/>
              </w:rPr>
              <w:t xml:space="preserve"> </w:t>
            </w:r>
            <w:r w:rsidRPr="1E59BD2B">
              <w:rPr>
                <w:color w:val="425563" w:themeColor="text1"/>
              </w:rPr>
              <w:t>or significant proven relevant experience</w:t>
            </w:r>
          </w:p>
        </w:tc>
      </w:tr>
      <w:tr w:rsidR="001800D0" w:rsidRPr="001800D0" w14:paraId="460DA05E" w14:textId="77777777" w:rsidTr="1E59BD2B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56F31230" w14:textId="609C4010" w:rsidR="001800D0" w:rsidRPr="001800D0" w:rsidRDefault="001800D0" w:rsidP="007871EF">
            <w:pPr>
              <w:rPr>
                <w:color w:val="FFFFFF" w:themeColor="background1"/>
              </w:rPr>
            </w:pPr>
            <w:r w:rsidRPr="001800D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1800D0">
              <w:rPr>
                <w:color w:val="FFFFFF" w:themeColor="background1"/>
              </w:rPr>
              <w:t>(travel, hours, personal characteristics)</w:t>
            </w:r>
          </w:p>
        </w:tc>
      </w:tr>
      <w:tr w:rsidR="00B642BF" w:rsidRPr="00B642BF" w14:paraId="399EC2A9" w14:textId="77777777" w:rsidTr="1E59BD2B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0216A95" w14:textId="77777777" w:rsidR="0070539F" w:rsidRDefault="0070539F" w:rsidP="0070539F">
            <w:pPr>
              <w:rPr>
                <w:color w:val="425563" w:themeColor="text1"/>
              </w:rPr>
            </w:pPr>
            <w:r w:rsidRPr="26A409C5">
              <w:rPr>
                <w:color w:val="425563" w:themeColor="text1"/>
              </w:rPr>
              <w:t>Ambiguity tolerance</w:t>
            </w:r>
            <w:r>
              <w:rPr>
                <w:color w:val="425563" w:themeColor="text1"/>
              </w:rPr>
              <w:t>, r</w:t>
            </w:r>
            <w:r w:rsidRPr="26A409C5">
              <w:rPr>
                <w:color w:val="425563" w:themeColor="text1"/>
              </w:rPr>
              <w:t>esilience</w:t>
            </w:r>
            <w:r>
              <w:rPr>
                <w:color w:val="425563" w:themeColor="text1"/>
              </w:rPr>
              <w:t xml:space="preserve"> and c</w:t>
            </w:r>
            <w:r w:rsidRPr="26A409C5">
              <w:rPr>
                <w:color w:val="425563" w:themeColor="text1"/>
              </w:rPr>
              <w:t>urious</w:t>
            </w:r>
          </w:p>
          <w:p w14:paraId="7968840C" w14:textId="032FE099" w:rsidR="00702D94" w:rsidRPr="00B642BF" w:rsidRDefault="00F177A7" w:rsidP="00633642">
            <w:pPr>
              <w:rPr>
                <w:color w:val="425563" w:themeColor="text1"/>
              </w:rPr>
            </w:pPr>
            <w:r w:rsidRPr="00F177A7">
              <w:rPr>
                <w:color w:val="425563" w:themeColor="text1"/>
              </w:rPr>
              <w:t>Willingness to travel to company and customer sites if required.</w:t>
            </w:r>
          </w:p>
        </w:tc>
      </w:tr>
    </w:tbl>
    <w:p w14:paraId="401640DD" w14:textId="77777777" w:rsidR="002D2AE5" w:rsidRPr="00B642BF" w:rsidRDefault="002D2AE5" w:rsidP="00CE64C5">
      <w:pPr>
        <w:spacing w:after="0" w:line="240" w:lineRule="auto"/>
        <w:rPr>
          <w:color w:val="425563" w:themeColor="text1"/>
        </w:rPr>
      </w:pPr>
    </w:p>
    <w:sectPr w:rsidR="002D2AE5" w:rsidRPr="00B642BF" w:rsidSect="0043104A">
      <w:headerReference w:type="default" r:id="rId7"/>
      <w:pgSz w:w="11906" w:h="16838"/>
      <w:pgMar w:top="1134" w:right="907" w:bottom="953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C93F" w14:textId="77777777" w:rsidR="00BB5F2B" w:rsidRDefault="00BB5F2B" w:rsidP="00777CA3">
      <w:pPr>
        <w:spacing w:after="0" w:line="240" w:lineRule="auto"/>
      </w:pPr>
      <w:r>
        <w:separator/>
      </w:r>
    </w:p>
  </w:endnote>
  <w:endnote w:type="continuationSeparator" w:id="0">
    <w:p w14:paraId="4606A6C2" w14:textId="77777777" w:rsidR="00BB5F2B" w:rsidRDefault="00BB5F2B" w:rsidP="00777CA3">
      <w:pPr>
        <w:spacing w:after="0" w:line="240" w:lineRule="auto"/>
      </w:pPr>
      <w:r>
        <w:continuationSeparator/>
      </w:r>
    </w:p>
  </w:endnote>
  <w:endnote w:type="continuationNotice" w:id="1">
    <w:p w14:paraId="7058A4A3" w14:textId="77777777" w:rsidR="00BB5F2B" w:rsidRDefault="00BB5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5315" w14:textId="77777777" w:rsidR="00BB5F2B" w:rsidRDefault="00BB5F2B" w:rsidP="00777CA3">
      <w:pPr>
        <w:spacing w:after="0" w:line="240" w:lineRule="auto"/>
      </w:pPr>
      <w:r>
        <w:separator/>
      </w:r>
    </w:p>
  </w:footnote>
  <w:footnote w:type="continuationSeparator" w:id="0">
    <w:p w14:paraId="1276FBA8" w14:textId="77777777" w:rsidR="00BB5F2B" w:rsidRDefault="00BB5F2B" w:rsidP="00777CA3">
      <w:pPr>
        <w:spacing w:after="0" w:line="240" w:lineRule="auto"/>
      </w:pPr>
      <w:r>
        <w:continuationSeparator/>
      </w:r>
    </w:p>
  </w:footnote>
  <w:footnote w:type="continuationNotice" w:id="1">
    <w:p w14:paraId="34A5CB56" w14:textId="77777777" w:rsidR="00BB5F2B" w:rsidRDefault="00BB5F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8" name="Picture 8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299"/>
    <w:multiLevelType w:val="hybridMultilevel"/>
    <w:tmpl w:val="3E384D7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A5473"/>
    <w:multiLevelType w:val="hybridMultilevel"/>
    <w:tmpl w:val="16D072F8"/>
    <w:lvl w:ilvl="0" w:tplc="9EDAA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D2C18"/>
    <w:multiLevelType w:val="hybridMultilevel"/>
    <w:tmpl w:val="67BE41FE"/>
    <w:lvl w:ilvl="0" w:tplc="1D1E5F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FD4098"/>
    <w:multiLevelType w:val="hybridMultilevel"/>
    <w:tmpl w:val="83A0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558061">
    <w:abstractNumId w:val="14"/>
  </w:num>
  <w:num w:numId="2" w16cid:durableId="377239338">
    <w:abstractNumId w:val="4"/>
  </w:num>
  <w:num w:numId="3" w16cid:durableId="1357266276">
    <w:abstractNumId w:val="3"/>
  </w:num>
  <w:num w:numId="4" w16cid:durableId="181554694">
    <w:abstractNumId w:val="5"/>
  </w:num>
  <w:num w:numId="5" w16cid:durableId="1798523435">
    <w:abstractNumId w:val="2"/>
  </w:num>
  <w:num w:numId="6" w16cid:durableId="11802233">
    <w:abstractNumId w:val="1"/>
  </w:num>
  <w:num w:numId="7" w16cid:durableId="633364851">
    <w:abstractNumId w:val="10"/>
  </w:num>
  <w:num w:numId="8" w16cid:durableId="2096122862">
    <w:abstractNumId w:val="12"/>
  </w:num>
  <w:num w:numId="9" w16cid:durableId="1050155157">
    <w:abstractNumId w:val="7"/>
  </w:num>
  <w:num w:numId="10" w16cid:durableId="326519761">
    <w:abstractNumId w:val="9"/>
  </w:num>
  <w:num w:numId="11" w16cid:durableId="1278371328">
    <w:abstractNumId w:val="11"/>
  </w:num>
  <w:num w:numId="12" w16cid:durableId="1567033417">
    <w:abstractNumId w:val="0"/>
  </w:num>
  <w:num w:numId="13" w16cid:durableId="2088842319">
    <w:abstractNumId w:val="8"/>
  </w:num>
  <w:num w:numId="14" w16cid:durableId="2032297074">
    <w:abstractNumId w:val="13"/>
  </w:num>
  <w:num w:numId="15" w16cid:durableId="1528829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0D1F"/>
    <w:rsid w:val="00030ED5"/>
    <w:rsid w:val="000479CE"/>
    <w:rsid w:val="00053D08"/>
    <w:rsid w:val="00065E79"/>
    <w:rsid w:val="000738A3"/>
    <w:rsid w:val="00077AB4"/>
    <w:rsid w:val="00084227"/>
    <w:rsid w:val="000B5BCF"/>
    <w:rsid w:val="000B5F47"/>
    <w:rsid w:val="000C5D2F"/>
    <w:rsid w:val="000C70E7"/>
    <w:rsid w:val="000D2231"/>
    <w:rsid w:val="00131934"/>
    <w:rsid w:val="00144A38"/>
    <w:rsid w:val="001800D0"/>
    <w:rsid w:val="00182AD2"/>
    <w:rsid w:val="001920D8"/>
    <w:rsid w:val="001A4862"/>
    <w:rsid w:val="001A5EF2"/>
    <w:rsid w:val="001D2142"/>
    <w:rsid w:val="001E0AF7"/>
    <w:rsid w:val="001E0B43"/>
    <w:rsid w:val="00240211"/>
    <w:rsid w:val="00260DF6"/>
    <w:rsid w:val="00265FA6"/>
    <w:rsid w:val="002815B0"/>
    <w:rsid w:val="00294299"/>
    <w:rsid w:val="002C4FFF"/>
    <w:rsid w:val="002D2AE5"/>
    <w:rsid w:val="002D3AF6"/>
    <w:rsid w:val="00300BB1"/>
    <w:rsid w:val="00304159"/>
    <w:rsid w:val="0033380A"/>
    <w:rsid w:val="00336D51"/>
    <w:rsid w:val="00341E1F"/>
    <w:rsid w:val="00365914"/>
    <w:rsid w:val="00377283"/>
    <w:rsid w:val="00387D92"/>
    <w:rsid w:val="003A0834"/>
    <w:rsid w:val="004011B2"/>
    <w:rsid w:val="00403C06"/>
    <w:rsid w:val="00421B91"/>
    <w:rsid w:val="0042286A"/>
    <w:rsid w:val="0043104A"/>
    <w:rsid w:val="00465D6F"/>
    <w:rsid w:val="0049798A"/>
    <w:rsid w:val="004A5BF2"/>
    <w:rsid w:val="004B5327"/>
    <w:rsid w:val="004C3B75"/>
    <w:rsid w:val="004D25F1"/>
    <w:rsid w:val="004E2164"/>
    <w:rsid w:val="004E4122"/>
    <w:rsid w:val="004E5FE3"/>
    <w:rsid w:val="004F219A"/>
    <w:rsid w:val="004F78CF"/>
    <w:rsid w:val="0058350F"/>
    <w:rsid w:val="005961C8"/>
    <w:rsid w:val="005D0D7E"/>
    <w:rsid w:val="00625930"/>
    <w:rsid w:val="006259FF"/>
    <w:rsid w:val="00633642"/>
    <w:rsid w:val="0063599A"/>
    <w:rsid w:val="006559E3"/>
    <w:rsid w:val="006576D5"/>
    <w:rsid w:val="006651C1"/>
    <w:rsid w:val="00671F7B"/>
    <w:rsid w:val="006C08A5"/>
    <w:rsid w:val="006D29D7"/>
    <w:rsid w:val="006E084B"/>
    <w:rsid w:val="006F4E98"/>
    <w:rsid w:val="007000F7"/>
    <w:rsid w:val="00702D94"/>
    <w:rsid w:val="0070539F"/>
    <w:rsid w:val="00711EC9"/>
    <w:rsid w:val="00721058"/>
    <w:rsid w:val="00721151"/>
    <w:rsid w:val="00735A75"/>
    <w:rsid w:val="0074244C"/>
    <w:rsid w:val="00750D21"/>
    <w:rsid w:val="00750F0E"/>
    <w:rsid w:val="00752413"/>
    <w:rsid w:val="00764511"/>
    <w:rsid w:val="00770E1E"/>
    <w:rsid w:val="00772DFB"/>
    <w:rsid w:val="0077355E"/>
    <w:rsid w:val="00777CA3"/>
    <w:rsid w:val="007871EF"/>
    <w:rsid w:val="007916FE"/>
    <w:rsid w:val="007C2544"/>
    <w:rsid w:val="007D06C4"/>
    <w:rsid w:val="007D21A7"/>
    <w:rsid w:val="007E2037"/>
    <w:rsid w:val="008063BF"/>
    <w:rsid w:val="008359DE"/>
    <w:rsid w:val="0084055C"/>
    <w:rsid w:val="00850230"/>
    <w:rsid w:val="008E19DE"/>
    <w:rsid w:val="00915D3A"/>
    <w:rsid w:val="00927593"/>
    <w:rsid w:val="00936083"/>
    <w:rsid w:val="0094182D"/>
    <w:rsid w:val="00946140"/>
    <w:rsid w:val="00966572"/>
    <w:rsid w:val="00984FA7"/>
    <w:rsid w:val="009A24CC"/>
    <w:rsid w:val="009A25EF"/>
    <w:rsid w:val="009A4ECD"/>
    <w:rsid w:val="009A4F8F"/>
    <w:rsid w:val="009A5BC9"/>
    <w:rsid w:val="009B13ED"/>
    <w:rsid w:val="009D2BA8"/>
    <w:rsid w:val="009E5D75"/>
    <w:rsid w:val="00A22922"/>
    <w:rsid w:val="00A344A3"/>
    <w:rsid w:val="00A74CAF"/>
    <w:rsid w:val="00A76E31"/>
    <w:rsid w:val="00A86970"/>
    <w:rsid w:val="00AA5348"/>
    <w:rsid w:val="00AA5F10"/>
    <w:rsid w:val="00AC0529"/>
    <w:rsid w:val="00AC62EC"/>
    <w:rsid w:val="00AD75B3"/>
    <w:rsid w:val="00AF04A5"/>
    <w:rsid w:val="00B2048A"/>
    <w:rsid w:val="00B22DA1"/>
    <w:rsid w:val="00B403EA"/>
    <w:rsid w:val="00B61E18"/>
    <w:rsid w:val="00B62405"/>
    <w:rsid w:val="00B642BF"/>
    <w:rsid w:val="00B80FB8"/>
    <w:rsid w:val="00B86018"/>
    <w:rsid w:val="00BA30E7"/>
    <w:rsid w:val="00BB5F2B"/>
    <w:rsid w:val="00BC0749"/>
    <w:rsid w:val="00BF76AF"/>
    <w:rsid w:val="00C074B7"/>
    <w:rsid w:val="00C63DBD"/>
    <w:rsid w:val="00C6738B"/>
    <w:rsid w:val="00C74086"/>
    <w:rsid w:val="00C758C0"/>
    <w:rsid w:val="00C87ECB"/>
    <w:rsid w:val="00CB7F12"/>
    <w:rsid w:val="00CC19D0"/>
    <w:rsid w:val="00CE2509"/>
    <w:rsid w:val="00CE2934"/>
    <w:rsid w:val="00CE64C5"/>
    <w:rsid w:val="00D6347A"/>
    <w:rsid w:val="00D64554"/>
    <w:rsid w:val="00D9305A"/>
    <w:rsid w:val="00DB6A48"/>
    <w:rsid w:val="00DC164E"/>
    <w:rsid w:val="00DE370A"/>
    <w:rsid w:val="00E0326C"/>
    <w:rsid w:val="00E04153"/>
    <w:rsid w:val="00E246D3"/>
    <w:rsid w:val="00E852FB"/>
    <w:rsid w:val="00EE37D3"/>
    <w:rsid w:val="00F177A7"/>
    <w:rsid w:val="00F22FB8"/>
    <w:rsid w:val="00F263D7"/>
    <w:rsid w:val="00F501B7"/>
    <w:rsid w:val="00F509EF"/>
    <w:rsid w:val="00F53C0A"/>
    <w:rsid w:val="00F54C3B"/>
    <w:rsid w:val="00F9389B"/>
    <w:rsid w:val="00FA09ED"/>
    <w:rsid w:val="00FB007B"/>
    <w:rsid w:val="00FC4A80"/>
    <w:rsid w:val="00FC71DF"/>
    <w:rsid w:val="00FD2AF3"/>
    <w:rsid w:val="00FE3710"/>
    <w:rsid w:val="00FE530F"/>
    <w:rsid w:val="01B94E6E"/>
    <w:rsid w:val="032D4381"/>
    <w:rsid w:val="084C77BE"/>
    <w:rsid w:val="0AA48161"/>
    <w:rsid w:val="0B91D260"/>
    <w:rsid w:val="0E84B823"/>
    <w:rsid w:val="0EFD8E26"/>
    <w:rsid w:val="117A14A8"/>
    <w:rsid w:val="13FE6172"/>
    <w:rsid w:val="14346FBB"/>
    <w:rsid w:val="17360234"/>
    <w:rsid w:val="188B480F"/>
    <w:rsid w:val="1E59BD2B"/>
    <w:rsid w:val="23984660"/>
    <w:rsid w:val="24053FF8"/>
    <w:rsid w:val="26CFE722"/>
    <w:rsid w:val="285B074C"/>
    <w:rsid w:val="28BA9436"/>
    <w:rsid w:val="2A49F46A"/>
    <w:rsid w:val="2D8D4822"/>
    <w:rsid w:val="2E960218"/>
    <w:rsid w:val="321F5B2F"/>
    <w:rsid w:val="344D8435"/>
    <w:rsid w:val="364EF177"/>
    <w:rsid w:val="36CDC2B3"/>
    <w:rsid w:val="3847F0C7"/>
    <w:rsid w:val="3AF2F376"/>
    <w:rsid w:val="3C1C91B1"/>
    <w:rsid w:val="3C2E050A"/>
    <w:rsid w:val="3D5D39F6"/>
    <w:rsid w:val="3E7EC3B9"/>
    <w:rsid w:val="3EF90A57"/>
    <w:rsid w:val="401A941A"/>
    <w:rsid w:val="414E5446"/>
    <w:rsid w:val="44DCCA66"/>
    <w:rsid w:val="469FFF16"/>
    <w:rsid w:val="47AB9232"/>
    <w:rsid w:val="4B90224A"/>
    <w:rsid w:val="4DE0EB76"/>
    <w:rsid w:val="4F4C5692"/>
    <w:rsid w:val="53539DF2"/>
    <w:rsid w:val="540614B8"/>
    <w:rsid w:val="54F1BF40"/>
    <w:rsid w:val="552B96E3"/>
    <w:rsid w:val="5B4CF8CE"/>
    <w:rsid w:val="5D2BF9B6"/>
    <w:rsid w:val="5D52BC0D"/>
    <w:rsid w:val="608A5CCF"/>
    <w:rsid w:val="62262D30"/>
    <w:rsid w:val="68125379"/>
    <w:rsid w:val="6C4FD7A5"/>
    <w:rsid w:val="6E3DBC05"/>
    <w:rsid w:val="6F6B4056"/>
    <w:rsid w:val="7194438C"/>
    <w:rsid w:val="73E00EE1"/>
    <w:rsid w:val="76E27401"/>
    <w:rsid w:val="7B9C4413"/>
    <w:rsid w:val="7C59593A"/>
    <w:rsid w:val="7E6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B091A57E-3A60-4091-9698-769FCA72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  <w:style w:type="character" w:customStyle="1" w:styleId="normaltextrun">
    <w:name w:val="normaltextrun"/>
    <w:basedOn w:val="DefaultParagraphFont"/>
    <w:rsid w:val="007E2037"/>
  </w:style>
  <w:style w:type="character" w:customStyle="1" w:styleId="eop">
    <w:name w:val="eop"/>
    <w:basedOn w:val="DefaultParagraphFont"/>
    <w:rsid w:val="007E203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Cording</dc:creator>
  <cp:keywords/>
  <dc:description/>
  <cp:lastModifiedBy>Sam Richardson</cp:lastModifiedBy>
  <cp:revision>2</cp:revision>
  <dcterms:created xsi:type="dcterms:W3CDTF">2024-01-03T15:25:00Z</dcterms:created>
  <dcterms:modified xsi:type="dcterms:W3CDTF">2024-01-03T15:25:00Z</dcterms:modified>
</cp:coreProperties>
</file>